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A76EA" w14:textId="77777777" w:rsidR="009A042F" w:rsidRPr="00A15F44" w:rsidRDefault="009A042F" w:rsidP="00D251A5">
      <w:pPr>
        <w:rPr>
          <w:rFonts w:ascii="Calibri" w:hAnsi="Calibri" w:cs="Calibri"/>
          <w:b/>
        </w:rPr>
      </w:pPr>
    </w:p>
    <w:p w14:paraId="4B3E5E80" w14:textId="77777777" w:rsidR="002F11A1" w:rsidRDefault="002F11A1" w:rsidP="00D251A5">
      <w:pPr>
        <w:pStyle w:val="Heading1"/>
        <w:jc w:val="center"/>
        <w:rPr>
          <w:sz w:val="36"/>
        </w:rPr>
      </w:pPr>
      <w:r>
        <w:rPr>
          <w:sz w:val="36"/>
        </w:rPr>
        <w:t>Durham Centre for Academic Development</w:t>
      </w:r>
    </w:p>
    <w:p w14:paraId="41B0CEEB" w14:textId="32BC408C" w:rsidR="009A042F" w:rsidRPr="00D251A5" w:rsidRDefault="009A042F" w:rsidP="00D251A5">
      <w:pPr>
        <w:pStyle w:val="Heading1"/>
        <w:jc w:val="center"/>
        <w:rPr>
          <w:sz w:val="36"/>
        </w:rPr>
      </w:pPr>
      <w:r w:rsidRPr="00D251A5">
        <w:rPr>
          <w:sz w:val="36"/>
        </w:rPr>
        <w:t xml:space="preserve">FOUNDATION </w:t>
      </w:r>
      <w:r w:rsidR="00FF0E63" w:rsidRPr="00D251A5">
        <w:rPr>
          <w:sz w:val="36"/>
        </w:rPr>
        <w:t>PROGRAMME</w:t>
      </w:r>
    </w:p>
    <w:p w14:paraId="36FED408" w14:textId="6D7F87FA" w:rsidR="009A042F" w:rsidRPr="00D251A5" w:rsidRDefault="009A042F" w:rsidP="691E46C7">
      <w:pPr>
        <w:pStyle w:val="Heading1"/>
        <w:jc w:val="center"/>
        <w:rPr>
          <w:sz w:val="36"/>
          <w:szCs w:val="36"/>
        </w:rPr>
      </w:pPr>
      <w:r w:rsidRPr="4CD54AFB">
        <w:rPr>
          <w:sz w:val="36"/>
          <w:szCs w:val="36"/>
        </w:rPr>
        <w:t>Admissions Policy</w:t>
      </w:r>
      <w:r w:rsidR="00BC2946" w:rsidRPr="4CD54AFB">
        <w:rPr>
          <w:sz w:val="36"/>
          <w:szCs w:val="36"/>
        </w:rPr>
        <w:t xml:space="preserve"> -</w:t>
      </w:r>
      <w:r w:rsidR="00291398" w:rsidRPr="4CD54AFB">
        <w:rPr>
          <w:sz w:val="36"/>
          <w:szCs w:val="36"/>
        </w:rPr>
        <w:t xml:space="preserve"> 202</w:t>
      </w:r>
      <w:r w:rsidR="008A6F51">
        <w:rPr>
          <w:sz w:val="36"/>
          <w:szCs w:val="36"/>
        </w:rPr>
        <w:t>5</w:t>
      </w:r>
      <w:r w:rsidR="00291398" w:rsidRPr="4CD54AFB">
        <w:rPr>
          <w:sz w:val="36"/>
          <w:szCs w:val="36"/>
        </w:rPr>
        <w:t>-2</w:t>
      </w:r>
      <w:r w:rsidR="008A6F51">
        <w:rPr>
          <w:sz w:val="36"/>
          <w:szCs w:val="36"/>
        </w:rPr>
        <w:t>6</w:t>
      </w:r>
      <w:r w:rsidR="00291398" w:rsidRPr="4CD54AFB">
        <w:rPr>
          <w:sz w:val="36"/>
          <w:szCs w:val="36"/>
        </w:rPr>
        <w:t xml:space="preserve"> Academic Year</w:t>
      </w:r>
    </w:p>
    <w:p w14:paraId="6918F565" w14:textId="77777777" w:rsidR="009A042F" w:rsidRPr="00A15F44" w:rsidRDefault="009A042F" w:rsidP="009A042F">
      <w:pPr>
        <w:jc w:val="both"/>
        <w:rPr>
          <w:rFonts w:ascii="Calibri" w:hAnsi="Calibri" w:cs="Calibri"/>
        </w:rPr>
      </w:pPr>
    </w:p>
    <w:p w14:paraId="7D8B1042" w14:textId="77777777" w:rsidR="009A042F" w:rsidRPr="00C406D2" w:rsidRDefault="00BC04D3" w:rsidP="00D251A5">
      <w:pPr>
        <w:pStyle w:val="Heading2"/>
      </w:pPr>
      <w:r>
        <w:t>Scope</w:t>
      </w:r>
    </w:p>
    <w:p w14:paraId="5AFBBBBF" w14:textId="1091958C" w:rsidR="009A042F" w:rsidRPr="00A15F44" w:rsidRDefault="009A042F" w:rsidP="009F0621">
      <w:pPr>
        <w:jc w:val="both"/>
        <w:rPr>
          <w:rFonts w:ascii="Calibri" w:hAnsi="Calibri" w:cs="Calibri"/>
        </w:rPr>
      </w:pPr>
      <w:r w:rsidRPr="00A15F44">
        <w:rPr>
          <w:rFonts w:ascii="Calibri" w:hAnsi="Calibri" w:cs="Calibri"/>
        </w:rPr>
        <w:t xml:space="preserve">The </w:t>
      </w:r>
      <w:r w:rsidR="00FF0E63">
        <w:rPr>
          <w:rFonts w:ascii="Calibri" w:hAnsi="Calibri" w:cs="Calibri"/>
        </w:rPr>
        <w:t>Foundation Programme</w:t>
      </w:r>
      <w:r w:rsidRPr="00A15F44">
        <w:rPr>
          <w:rFonts w:ascii="Calibri" w:hAnsi="Calibri" w:cs="Calibri"/>
        </w:rPr>
        <w:t xml:space="preserve"> Admissions Policy applies to the admission of students to </w:t>
      </w:r>
      <w:r w:rsidR="00291398">
        <w:rPr>
          <w:rFonts w:ascii="Calibri" w:hAnsi="Calibri" w:cs="Calibri"/>
        </w:rPr>
        <w:t>Durham Centre for Academic Development, Foundation</w:t>
      </w:r>
      <w:r w:rsidRPr="00A15F44">
        <w:rPr>
          <w:rFonts w:ascii="Calibri" w:hAnsi="Calibri" w:cs="Calibri"/>
        </w:rPr>
        <w:t xml:space="preserve"> Programmes</w:t>
      </w:r>
      <w:r>
        <w:rPr>
          <w:rFonts w:ascii="Calibri" w:hAnsi="Calibri" w:cs="Calibri"/>
        </w:rPr>
        <w:t xml:space="preserve">. </w:t>
      </w:r>
      <w:r w:rsidR="00291398">
        <w:rPr>
          <w:rFonts w:ascii="Calibri" w:hAnsi="Calibri" w:cs="Calibri"/>
        </w:rPr>
        <w:t>Foundation</w:t>
      </w:r>
      <w:r>
        <w:rPr>
          <w:rFonts w:ascii="Calibri" w:hAnsi="Calibri" w:cs="Calibri"/>
        </w:rPr>
        <w:t xml:space="preserve"> Programmes are offered as full undergraduate degree programmes, with an additional year of academic preparation, known as Year 0</w:t>
      </w:r>
      <w:r w:rsidRPr="00A15F44">
        <w:rPr>
          <w:rFonts w:ascii="Calibri" w:hAnsi="Calibri" w:cs="Calibri"/>
        </w:rPr>
        <w:t>.</w:t>
      </w:r>
      <w:r w:rsidRPr="00E72AFD">
        <w:rPr>
          <w:rFonts w:ascii="Calibri" w:hAnsi="Calibri" w:cs="Calibri"/>
        </w:rPr>
        <w:t xml:space="preserve"> </w:t>
      </w:r>
      <w:r>
        <w:rPr>
          <w:rFonts w:ascii="Calibri" w:hAnsi="Calibri" w:cs="Calibri"/>
        </w:rPr>
        <w:t>Successful completion of Year 0 allows students to progress to level 1 of their undergraduate degree without further application.</w:t>
      </w:r>
    </w:p>
    <w:p w14:paraId="065E6D53" w14:textId="77777777" w:rsidR="009A042F" w:rsidRPr="00C406D2" w:rsidRDefault="00BC04D3" w:rsidP="009F0621">
      <w:pPr>
        <w:pStyle w:val="Heading2"/>
      </w:pPr>
      <w:r>
        <w:t>Principles</w:t>
      </w:r>
    </w:p>
    <w:p w14:paraId="28C86E7D" w14:textId="55F99874" w:rsidR="009A042F" w:rsidRDefault="009A042F" w:rsidP="691E46C7">
      <w:pPr>
        <w:jc w:val="both"/>
        <w:rPr>
          <w:rFonts w:ascii="Calibri" w:hAnsi="Calibri" w:cs="Calibri"/>
        </w:rPr>
      </w:pPr>
      <w:r w:rsidRPr="00A15F44">
        <w:rPr>
          <w:rFonts w:ascii="Calibri" w:hAnsi="Calibri" w:cs="Calibri"/>
        </w:rPr>
        <w:t xml:space="preserve">The </w:t>
      </w:r>
      <w:r w:rsidR="00FF0E63">
        <w:rPr>
          <w:rFonts w:ascii="Calibri" w:hAnsi="Calibri" w:cs="Calibri"/>
        </w:rPr>
        <w:t>Foundation Programme</w:t>
      </w:r>
      <w:r w:rsidRPr="00A15F44">
        <w:rPr>
          <w:rFonts w:ascii="Calibri" w:hAnsi="Calibri" w:cs="Calibri"/>
        </w:rPr>
        <w:t xml:space="preserve"> </w:t>
      </w:r>
      <w:r>
        <w:rPr>
          <w:rFonts w:ascii="Calibri" w:hAnsi="Calibri" w:cs="Calibri"/>
        </w:rPr>
        <w:t>s</w:t>
      </w:r>
      <w:r w:rsidRPr="00A15F44">
        <w:rPr>
          <w:rFonts w:ascii="Calibri" w:hAnsi="Calibri" w:cs="Calibri"/>
        </w:rPr>
        <w:t>upports both the University’s Strategic Plan (201</w:t>
      </w:r>
      <w:r w:rsidR="009F0621">
        <w:rPr>
          <w:rFonts w:ascii="Calibri" w:hAnsi="Calibri" w:cs="Calibri"/>
        </w:rPr>
        <w:t>7</w:t>
      </w:r>
      <w:r w:rsidRPr="00A15F44">
        <w:rPr>
          <w:rFonts w:ascii="Calibri" w:hAnsi="Calibri" w:cs="Calibri"/>
        </w:rPr>
        <w:t>-202</w:t>
      </w:r>
      <w:r w:rsidR="009F0621">
        <w:rPr>
          <w:rFonts w:ascii="Calibri" w:hAnsi="Calibri" w:cs="Calibri"/>
        </w:rPr>
        <w:t>7</w:t>
      </w:r>
      <w:r w:rsidRPr="00A15F44">
        <w:rPr>
          <w:rFonts w:ascii="Calibri" w:hAnsi="Calibri" w:cs="Calibri"/>
        </w:rPr>
        <w:t>) and the Undergraduate Admissions Strategy, p</w:t>
      </w:r>
      <w:r>
        <w:rPr>
          <w:rFonts w:ascii="Calibri" w:hAnsi="Calibri" w:cs="Calibri"/>
        </w:rPr>
        <w:t xml:space="preserve">articularly </w:t>
      </w:r>
      <w:r w:rsidR="4C7E05DE">
        <w:rPr>
          <w:rFonts w:ascii="Calibri" w:hAnsi="Calibri" w:cs="Calibri"/>
        </w:rPr>
        <w:t>regarding</w:t>
      </w:r>
      <w:r w:rsidR="00390619">
        <w:rPr>
          <w:rFonts w:ascii="Calibri" w:hAnsi="Calibri" w:cs="Calibri"/>
        </w:rPr>
        <w:t xml:space="preserve"> the Access and Participation Plan</w:t>
      </w:r>
      <w:r w:rsidR="00390619">
        <w:rPr>
          <w:rStyle w:val="FootnoteReference"/>
          <w:rFonts w:ascii="Calibri" w:hAnsi="Calibri" w:cs="Calibri"/>
        </w:rPr>
        <w:footnoteReference w:id="1"/>
      </w:r>
      <w:r>
        <w:rPr>
          <w:rFonts w:ascii="Calibri" w:hAnsi="Calibri" w:cs="Calibri"/>
        </w:rPr>
        <w:t xml:space="preserve"> </w:t>
      </w:r>
      <w:r w:rsidR="00390619">
        <w:rPr>
          <w:rFonts w:ascii="Calibri" w:hAnsi="Calibri" w:cs="Calibri"/>
        </w:rPr>
        <w:t xml:space="preserve">and </w:t>
      </w:r>
      <w:r w:rsidRPr="691E46C7">
        <w:rPr>
          <w:rFonts w:ascii="Calibri" w:hAnsi="Calibri" w:cs="Calibri"/>
          <w:b/>
          <w:bCs/>
        </w:rPr>
        <w:t>Fair Access</w:t>
      </w:r>
      <w:r>
        <w:rPr>
          <w:rStyle w:val="FootnoteReference"/>
          <w:rFonts w:ascii="Calibri" w:hAnsi="Calibri" w:cs="Calibri"/>
        </w:rPr>
        <w:footnoteReference w:id="2"/>
      </w:r>
      <w:r w:rsidRPr="00A15F44">
        <w:rPr>
          <w:rFonts w:ascii="Calibri" w:hAnsi="Calibri" w:cs="Calibri"/>
        </w:rPr>
        <w:t xml:space="preserve">.  </w:t>
      </w:r>
      <w:r w:rsidR="574ED421" w:rsidRPr="691E46C7">
        <w:rPr>
          <w:rFonts w:ascii="Calibri" w:eastAsia="Calibri" w:hAnsi="Calibri" w:cs="Calibri"/>
        </w:rPr>
        <w:t xml:space="preserve">It is designed for students from under-represented groups in higher education, who have the potential to achieve the standard for admission to Durham, but who, </w:t>
      </w:r>
      <w:r w:rsidR="00583A97" w:rsidRPr="691E46C7">
        <w:rPr>
          <w:rFonts w:ascii="Calibri" w:eastAsia="Calibri" w:hAnsi="Calibri" w:cs="Calibri"/>
        </w:rPr>
        <w:t>because of</w:t>
      </w:r>
      <w:r w:rsidR="574ED421" w:rsidRPr="691E46C7">
        <w:rPr>
          <w:rFonts w:ascii="Calibri" w:eastAsia="Calibri" w:hAnsi="Calibri" w:cs="Calibri"/>
        </w:rPr>
        <w:t xml:space="preserve"> educational disadvantage or disruption, do not have the level of attainment or access to qualifications required for entry to a Durham University course.</w:t>
      </w:r>
      <w:r w:rsidR="1B6BF1DA" w:rsidRPr="691E46C7">
        <w:rPr>
          <w:rFonts w:ascii="Calibri" w:hAnsi="Calibri" w:cs="Calibri"/>
        </w:rPr>
        <w:t xml:space="preserve"> </w:t>
      </w:r>
      <w:r w:rsidR="00F65EE0">
        <w:rPr>
          <w:rFonts w:ascii="Calibri" w:hAnsi="Calibri" w:cs="Calibri"/>
        </w:rPr>
        <w:t>Priority</w:t>
      </w:r>
      <w:r>
        <w:rPr>
          <w:rFonts w:ascii="Calibri" w:hAnsi="Calibri" w:cs="Calibri"/>
        </w:rPr>
        <w:t xml:space="preserve"> is given to applicants from</w:t>
      </w:r>
      <w:r w:rsidR="00F65EE0" w:rsidRPr="00F65EE0">
        <w:rPr>
          <w:rFonts w:ascii="Calibri" w:hAnsi="Calibri" w:cs="Calibri"/>
        </w:rPr>
        <w:t xml:space="preserve"> areas of low participation</w:t>
      </w:r>
      <w:r w:rsidR="00390619" w:rsidRPr="00390619">
        <w:rPr>
          <w:rFonts w:ascii="Calibri" w:hAnsi="Calibri" w:cs="Calibri"/>
        </w:rPr>
        <w:t xml:space="preserve"> </w:t>
      </w:r>
      <w:r w:rsidR="00390619">
        <w:rPr>
          <w:rFonts w:ascii="Calibri" w:hAnsi="Calibri" w:cs="Calibri"/>
        </w:rPr>
        <w:t xml:space="preserve">in </w:t>
      </w:r>
      <w:r w:rsidR="00390619" w:rsidRPr="00F65EE0">
        <w:rPr>
          <w:rFonts w:ascii="Calibri" w:hAnsi="Calibri" w:cs="Calibri"/>
        </w:rPr>
        <w:t>higher education</w:t>
      </w:r>
      <w:r w:rsidR="00F65EE0" w:rsidRPr="00F65EE0">
        <w:rPr>
          <w:rFonts w:ascii="Calibri" w:hAnsi="Calibri" w:cs="Calibri"/>
        </w:rPr>
        <w:t>, low household income or low socioeconomic status (</w:t>
      </w:r>
      <w:r w:rsidR="00A90CC5">
        <w:rPr>
          <w:rFonts w:ascii="Calibri" w:hAnsi="Calibri" w:cs="Calibri"/>
        </w:rPr>
        <w:t>b</w:t>
      </w:r>
      <w:r w:rsidR="00F65EE0" w:rsidRPr="00F65EE0">
        <w:rPr>
          <w:rFonts w:ascii="Calibri" w:hAnsi="Calibri" w:cs="Calibri"/>
        </w:rPr>
        <w:t>ased on Acorn and Polar data)</w:t>
      </w:r>
      <w:r w:rsidR="00F65EE0">
        <w:rPr>
          <w:rFonts w:ascii="Calibri" w:hAnsi="Calibri" w:cs="Calibri"/>
        </w:rPr>
        <w:t>, although other</w:t>
      </w:r>
      <w:r w:rsidR="00F65EE0" w:rsidRPr="691E46C7">
        <w:rPr>
          <w:rFonts w:ascii="Calibri" w:hAnsi="Calibri" w:cs="Calibri"/>
          <w:b/>
          <w:bCs/>
        </w:rPr>
        <w:t xml:space="preserve"> under</w:t>
      </w:r>
      <w:r w:rsidRPr="691E46C7">
        <w:rPr>
          <w:rFonts w:ascii="Calibri" w:hAnsi="Calibri" w:cs="Calibri"/>
          <w:b/>
          <w:bCs/>
        </w:rPr>
        <w:t>-represented groups</w:t>
      </w:r>
      <w:r w:rsidRPr="00014B6A">
        <w:rPr>
          <w:rFonts w:ascii="Calibri" w:hAnsi="Calibri" w:cs="Calibri"/>
        </w:rPr>
        <w:t xml:space="preserve"> </w:t>
      </w:r>
      <w:r>
        <w:rPr>
          <w:rFonts w:ascii="Calibri" w:hAnsi="Calibri" w:cs="Calibri"/>
        </w:rPr>
        <w:t>within higher education</w:t>
      </w:r>
      <w:r>
        <w:rPr>
          <w:rStyle w:val="FootnoteReference"/>
          <w:rFonts w:ascii="Calibri" w:hAnsi="Calibri" w:cs="Calibri"/>
        </w:rPr>
        <w:footnoteReference w:id="3"/>
      </w:r>
      <w:r w:rsidR="00F65EE0">
        <w:rPr>
          <w:rFonts w:ascii="Calibri" w:hAnsi="Calibri" w:cs="Calibri"/>
        </w:rPr>
        <w:t xml:space="preserve"> will also be considered</w:t>
      </w:r>
      <w:r>
        <w:rPr>
          <w:rFonts w:ascii="Calibri" w:hAnsi="Calibri" w:cs="Calibri"/>
        </w:rPr>
        <w:t xml:space="preserve">, through the practice of </w:t>
      </w:r>
      <w:r w:rsidRPr="691E46C7">
        <w:rPr>
          <w:rFonts w:ascii="Calibri" w:hAnsi="Calibri" w:cs="Calibri"/>
          <w:b/>
          <w:bCs/>
        </w:rPr>
        <w:t>widening participation</w:t>
      </w:r>
      <w:r>
        <w:rPr>
          <w:rFonts w:ascii="Calibri" w:hAnsi="Calibri" w:cs="Calibri"/>
        </w:rPr>
        <w:t>.</w:t>
      </w:r>
      <w:r>
        <w:rPr>
          <w:rStyle w:val="FootnoteReference"/>
          <w:rFonts w:ascii="Calibri" w:hAnsi="Calibri" w:cs="Calibri"/>
        </w:rPr>
        <w:footnoteReference w:id="4"/>
      </w:r>
      <w:r>
        <w:rPr>
          <w:rFonts w:ascii="Calibri" w:hAnsi="Calibri" w:cs="Calibri"/>
        </w:rPr>
        <w:t xml:space="preserve"> </w:t>
      </w:r>
      <w:r w:rsidR="16FA9B17">
        <w:rPr>
          <w:rFonts w:ascii="Calibri" w:hAnsi="Calibri" w:cs="Calibri"/>
        </w:rPr>
        <w:t xml:space="preserve"> </w:t>
      </w:r>
    </w:p>
    <w:p w14:paraId="052761B1" w14:textId="68AA2D06" w:rsidR="75FF0C6F" w:rsidRDefault="75FF0C6F" w:rsidP="691E46C7">
      <w:pPr>
        <w:jc w:val="both"/>
        <w:rPr>
          <w:rFonts w:ascii="Calibri" w:eastAsia="Calibri" w:hAnsi="Calibri" w:cs="Calibri"/>
        </w:rPr>
      </w:pPr>
      <w:r w:rsidRPr="30B4A4BD">
        <w:rPr>
          <w:rFonts w:ascii="Calibri" w:eastAsia="Calibri" w:hAnsi="Calibri" w:cs="Calibri"/>
        </w:rPr>
        <w:t xml:space="preserve">Foundation Programme courses are not intended to allow applicants to side-step the normal competitive process of admissions. All applicants must be able to demonstrate eligibility, academic </w:t>
      </w:r>
      <w:r w:rsidR="00583A97" w:rsidRPr="30B4A4BD">
        <w:rPr>
          <w:rFonts w:ascii="Calibri" w:eastAsia="Calibri" w:hAnsi="Calibri" w:cs="Calibri"/>
        </w:rPr>
        <w:t>potential,</w:t>
      </w:r>
      <w:r w:rsidRPr="30B4A4BD">
        <w:rPr>
          <w:rFonts w:ascii="Calibri" w:eastAsia="Calibri" w:hAnsi="Calibri" w:cs="Calibri"/>
        </w:rPr>
        <w:t xml:space="preserve"> and the reasons why they have been unable to achieve the academic progress and attainment they are capable of. This information must be clearly provided within either the personal statement and/or reference. Please note, we will accept substitute personal statements in line with the University’s admissions process </w:t>
      </w:r>
      <w:hyperlink r:id="rId11" w:history="1">
        <w:r w:rsidRPr="30B4A4BD">
          <w:rPr>
            <w:rStyle w:val="Hyperlink"/>
            <w:rFonts w:ascii="Calibri" w:eastAsia="Calibri" w:hAnsi="Calibri" w:cs="Calibri"/>
          </w:rPr>
          <w:t>https://www.durham.ac.uk/study/undergraduate/how-to-apply/writing-a-personal-statement/</w:t>
        </w:r>
      </w:hyperlink>
      <w:r w:rsidRPr="30B4A4BD">
        <w:rPr>
          <w:rFonts w:ascii="Calibri" w:eastAsia="Calibri" w:hAnsi="Calibri" w:cs="Calibri"/>
        </w:rPr>
        <w:t>. We reserve the right to request additional evidence on academic potential and/or disadvantage. Applications which do not provide both evidence of eligibility, academic potential and how academic potential has been negatively impacted, will not be considered for a place.</w:t>
      </w:r>
    </w:p>
    <w:p w14:paraId="3785E299" w14:textId="77777777" w:rsidR="009A042F" w:rsidRPr="00C406D2" w:rsidRDefault="009A042F" w:rsidP="009F0621">
      <w:pPr>
        <w:pStyle w:val="Heading2"/>
      </w:pPr>
      <w:r w:rsidRPr="00A15F44">
        <w:t>Information, Advice and Guidance</w:t>
      </w:r>
    </w:p>
    <w:p w14:paraId="2652D103" w14:textId="0314B313" w:rsidR="009A042F" w:rsidRPr="00A15F44" w:rsidRDefault="009A042F" w:rsidP="009A042F">
      <w:pPr>
        <w:jc w:val="both"/>
        <w:rPr>
          <w:rFonts w:ascii="Calibri" w:hAnsi="Calibri" w:cs="Calibri"/>
        </w:rPr>
      </w:pPr>
      <w:r w:rsidRPr="30B4A4BD">
        <w:rPr>
          <w:rFonts w:ascii="Calibri" w:hAnsi="Calibri" w:cs="Calibri"/>
        </w:rPr>
        <w:t xml:space="preserve">Information, </w:t>
      </w:r>
      <w:r w:rsidR="00583A97" w:rsidRPr="30B4A4BD">
        <w:rPr>
          <w:rFonts w:ascii="Calibri" w:hAnsi="Calibri" w:cs="Calibri"/>
        </w:rPr>
        <w:t>advice,</w:t>
      </w:r>
      <w:r w:rsidRPr="30B4A4BD">
        <w:rPr>
          <w:rFonts w:ascii="Calibri" w:hAnsi="Calibri" w:cs="Calibri"/>
        </w:rPr>
        <w:t xml:space="preserve"> and guidance are provided by the </w:t>
      </w:r>
      <w:r w:rsidR="00BC04D3" w:rsidRPr="30B4A4BD">
        <w:rPr>
          <w:rFonts w:ascii="Calibri" w:hAnsi="Calibri" w:cs="Calibri"/>
        </w:rPr>
        <w:t>Foundation Programme</w:t>
      </w:r>
      <w:r w:rsidRPr="30B4A4BD">
        <w:rPr>
          <w:rFonts w:ascii="Calibri" w:hAnsi="Calibri" w:cs="Calibri"/>
        </w:rPr>
        <w:t>’s admissions team and applicants may be invited to participate in informal discussions in person, by telephone</w:t>
      </w:r>
      <w:r w:rsidR="166609E4" w:rsidRPr="30B4A4BD">
        <w:rPr>
          <w:rFonts w:ascii="Calibri" w:hAnsi="Calibri" w:cs="Calibri"/>
        </w:rPr>
        <w:t>, or online</w:t>
      </w:r>
      <w:r w:rsidRPr="30B4A4BD">
        <w:rPr>
          <w:rFonts w:ascii="Calibri" w:hAnsi="Calibri" w:cs="Calibri"/>
        </w:rPr>
        <w:t>, to discuss their personal circumstances and study options. Information, advice and guidance discussions may be used to inform decisions on applications.</w:t>
      </w:r>
    </w:p>
    <w:p w14:paraId="52293A3A" w14:textId="2E72307F" w:rsidR="009A042F" w:rsidRPr="00C406D2" w:rsidRDefault="009A042F" w:rsidP="00BC04D3">
      <w:pPr>
        <w:pStyle w:val="Heading2"/>
      </w:pPr>
      <w:r w:rsidRPr="00A15F44">
        <w:t>Selection Policy</w:t>
      </w:r>
    </w:p>
    <w:p w14:paraId="6950D7D0" w14:textId="75474C79" w:rsidR="00B26922" w:rsidRDefault="00B26922" w:rsidP="691E46C7">
      <w:pPr>
        <w:jc w:val="both"/>
        <w:rPr>
          <w:rFonts w:ascii="Calibri" w:hAnsi="Calibri" w:cs="Calibri"/>
        </w:rPr>
      </w:pPr>
      <w:r w:rsidRPr="691E46C7">
        <w:rPr>
          <w:rFonts w:ascii="Calibri" w:hAnsi="Calibri" w:cs="Calibri"/>
        </w:rPr>
        <w:t>Priority is given to applicants from areas of low participation in higher education (LPN), low household income or low socioeconomic status (Based on Acorn and Polar data)</w:t>
      </w:r>
      <w:r w:rsidR="00A762FF" w:rsidRPr="691E46C7">
        <w:rPr>
          <w:rFonts w:ascii="Calibri" w:hAnsi="Calibri" w:cs="Calibri"/>
        </w:rPr>
        <w:t>.</w:t>
      </w:r>
      <w:r w:rsidRPr="691E46C7">
        <w:rPr>
          <w:rFonts w:ascii="Calibri" w:hAnsi="Calibri" w:cs="Calibri"/>
        </w:rPr>
        <w:t xml:space="preserve"> Applications from other under-represented groups within higher education </w:t>
      </w:r>
      <w:r w:rsidR="00A762FF" w:rsidRPr="691E46C7">
        <w:rPr>
          <w:rFonts w:ascii="Calibri" w:hAnsi="Calibri" w:cs="Calibri"/>
        </w:rPr>
        <w:t xml:space="preserve">and from mature students (over 21 years of age at the start of the course) </w:t>
      </w:r>
      <w:r w:rsidRPr="691E46C7">
        <w:rPr>
          <w:rFonts w:ascii="Calibri" w:hAnsi="Calibri" w:cs="Calibri"/>
        </w:rPr>
        <w:t>are also welcomed.</w:t>
      </w:r>
      <w:r w:rsidR="64BB1389" w:rsidRPr="691E46C7">
        <w:rPr>
          <w:rFonts w:ascii="Calibri" w:hAnsi="Calibri" w:cs="Calibri"/>
        </w:rPr>
        <w:t xml:space="preserve"> </w:t>
      </w:r>
    </w:p>
    <w:p w14:paraId="26F6868E" w14:textId="6831DCA0" w:rsidR="00B26922" w:rsidRDefault="64BB1389" w:rsidP="691E46C7">
      <w:pPr>
        <w:jc w:val="both"/>
        <w:rPr>
          <w:rFonts w:ascii="Calibri" w:hAnsi="Calibri" w:cs="Calibri"/>
        </w:rPr>
      </w:pPr>
      <w:r w:rsidRPr="691E46C7">
        <w:rPr>
          <w:rFonts w:ascii="Calibri" w:hAnsi="Calibri" w:cs="Calibri"/>
        </w:rPr>
        <w:t>Applications will be considered in the following priority order:</w:t>
      </w:r>
    </w:p>
    <w:p w14:paraId="0870533D" w14:textId="5D2BDBB0" w:rsidR="00B26922" w:rsidRDefault="64BB1389" w:rsidP="691E46C7">
      <w:pPr>
        <w:pStyle w:val="ListParagraph"/>
        <w:numPr>
          <w:ilvl w:val="0"/>
          <w:numId w:val="1"/>
        </w:numPr>
        <w:jc w:val="both"/>
      </w:pPr>
      <w:r w:rsidRPr="691E46C7">
        <w:rPr>
          <w:rFonts w:ascii="Calibri" w:hAnsi="Calibri" w:cs="Calibri"/>
        </w:rPr>
        <w:t>Applicants from areas of low participation in higher education (LPN based on Polar 4 data)</w:t>
      </w:r>
      <w:r w:rsidR="00583A97">
        <w:rPr>
          <w:rFonts w:ascii="Calibri" w:hAnsi="Calibri" w:cs="Calibri"/>
        </w:rPr>
        <w:t>.</w:t>
      </w:r>
    </w:p>
    <w:p w14:paraId="56939DE4" w14:textId="5955F8EC" w:rsidR="00B26922" w:rsidRDefault="64BB1389" w:rsidP="691E46C7">
      <w:pPr>
        <w:pStyle w:val="ListParagraph"/>
        <w:numPr>
          <w:ilvl w:val="0"/>
          <w:numId w:val="1"/>
        </w:numPr>
        <w:jc w:val="both"/>
      </w:pPr>
      <w:r w:rsidRPr="691E46C7">
        <w:rPr>
          <w:rFonts w:ascii="Calibri" w:hAnsi="Calibri" w:cs="Calibri"/>
        </w:rPr>
        <w:t>Applicants with low household income or low socioeconomic status (based on Acorn and FSM data)</w:t>
      </w:r>
      <w:r w:rsidR="00583A97">
        <w:rPr>
          <w:rFonts w:ascii="Calibri" w:hAnsi="Calibri" w:cs="Calibri"/>
        </w:rPr>
        <w:t>.</w:t>
      </w:r>
    </w:p>
    <w:p w14:paraId="48A4E95C" w14:textId="77777777" w:rsidR="00583A97" w:rsidRPr="00583A97" w:rsidRDefault="6D3DA834" w:rsidP="691E46C7">
      <w:pPr>
        <w:pStyle w:val="ListParagraph"/>
        <w:numPr>
          <w:ilvl w:val="0"/>
          <w:numId w:val="1"/>
        </w:numPr>
        <w:jc w:val="both"/>
      </w:pPr>
      <w:r w:rsidRPr="74032E3C">
        <w:rPr>
          <w:rFonts w:ascii="Calibri" w:hAnsi="Calibri" w:cs="Calibri"/>
        </w:rPr>
        <w:t>Mature a</w:t>
      </w:r>
      <w:r w:rsidR="64BB1389" w:rsidRPr="74032E3C">
        <w:rPr>
          <w:rFonts w:ascii="Calibri" w:hAnsi="Calibri" w:cs="Calibri"/>
        </w:rPr>
        <w:t>pplicants (over 21 years of age at the start of the course)</w:t>
      </w:r>
    </w:p>
    <w:p w14:paraId="53BBDDCD" w14:textId="5D5FB3F9" w:rsidR="00B26922" w:rsidRDefault="64BB1389" w:rsidP="691E46C7">
      <w:pPr>
        <w:pStyle w:val="ListParagraph"/>
        <w:numPr>
          <w:ilvl w:val="0"/>
          <w:numId w:val="1"/>
        </w:numPr>
        <w:jc w:val="both"/>
      </w:pPr>
      <w:r w:rsidRPr="30B4A4BD">
        <w:rPr>
          <w:rFonts w:ascii="Calibri" w:hAnsi="Calibri" w:cs="Calibri"/>
        </w:rPr>
        <w:t>Applications from other under-represented groups within higher education.</w:t>
      </w:r>
    </w:p>
    <w:p w14:paraId="1A988E10" w14:textId="51862B0A" w:rsidR="00644ACD" w:rsidRDefault="00644ACD" w:rsidP="00BC04D3">
      <w:pPr>
        <w:jc w:val="both"/>
        <w:rPr>
          <w:rFonts w:ascii="Calibri" w:hAnsi="Calibri" w:cs="Calibri"/>
        </w:rPr>
      </w:pPr>
      <w:r w:rsidRPr="5D98B430">
        <w:rPr>
          <w:rFonts w:ascii="Calibri" w:hAnsi="Calibri" w:cs="Calibri"/>
        </w:rPr>
        <w:t xml:space="preserve">Young students, those under 21 years of age at the start of their course, </w:t>
      </w:r>
      <w:r w:rsidR="009A042F" w:rsidRPr="5D98B430">
        <w:rPr>
          <w:rFonts w:ascii="Calibri" w:hAnsi="Calibri" w:cs="Calibri"/>
        </w:rPr>
        <w:t xml:space="preserve">are required </w:t>
      </w:r>
      <w:r w:rsidRPr="5D98B430">
        <w:rPr>
          <w:rFonts w:ascii="Calibri" w:hAnsi="Calibri" w:cs="Calibri"/>
        </w:rPr>
        <w:t>to provide formal qualifications. However, we will consider individual circumstances in deciding the relative merit of qualifications</w:t>
      </w:r>
      <w:r w:rsidR="00583A97" w:rsidRPr="5D98B430">
        <w:rPr>
          <w:rFonts w:ascii="Calibri" w:hAnsi="Calibri" w:cs="Calibri"/>
        </w:rPr>
        <w:t>.</w:t>
      </w:r>
      <w:r w:rsidR="00706B07">
        <w:t xml:space="preserve"> </w:t>
      </w:r>
      <w:r w:rsidR="00706B07" w:rsidRPr="5D98B430">
        <w:rPr>
          <w:rFonts w:ascii="Calibri" w:hAnsi="Calibri" w:cs="Calibri"/>
        </w:rPr>
        <w:t>Mature applicant</w:t>
      </w:r>
      <w:r w:rsidR="5D8D7E8F" w:rsidRPr="5D98B430">
        <w:rPr>
          <w:rFonts w:ascii="Calibri" w:hAnsi="Calibri" w:cs="Calibri"/>
        </w:rPr>
        <w:t>s</w:t>
      </w:r>
      <w:r w:rsidR="00706B07" w:rsidRPr="5D98B430">
        <w:rPr>
          <w:rFonts w:ascii="Calibri" w:hAnsi="Calibri" w:cs="Calibri"/>
        </w:rPr>
        <w:t xml:space="preserve">, those over 21 years old when the course starts, </w:t>
      </w:r>
      <w:r w:rsidR="00583A97" w:rsidRPr="5D98B430">
        <w:rPr>
          <w:rFonts w:ascii="Calibri" w:hAnsi="Calibri" w:cs="Calibri"/>
        </w:rPr>
        <w:t>may also be required t</w:t>
      </w:r>
      <w:r w:rsidR="00706B07" w:rsidRPr="5D98B430">
        <w:rPr>
          <w:rFonts w:ascii="Calibri" w:hAnsi="Calibri" w:cs="Calibri"/>
        </w:rPr>
        <w:t>o provide formal qualifications</w:t>
      </w:r>
      <w:r w:rsidR="00583A97" w:rsidRPr="5D98B430">
        <w:rPr>
          <w:rFonts w:ascii="Calibri" w:hAnsi="Calibri" w:cs="Calibri"/>
        </w:rPr>
        <w:t xml:space="preserve"> based on the course for which they have applied</w:t>
      </w:r>
      <w:r w:rsidR="00706B07" w:rsidRPr="5D98B430">
        <w:rPr>
          <w:rFonts w:ascii="Calibri" w:hAnsi="Calibri" w:cs="Calibri"/>
        </w:rPr>
        <w:t xml:space="preserve">, </w:t>
      </w:r>
      <w:r w:rsidR="00583A97" w:rsidRPr="5D98B430">
        <w:rPr>
          <w:rFonts w:ascii="Calibri" w:hAnsi="Calibri" w:cs="Calibri"/>
        </w:rPr>
        <w:t xml:space="preserve">and </w:t>
      </w:r>
      <w:r w:rsidR="00706B07" w:rsidRPr="5D98B430">
        <w:rPr>
          <w:rFonts w:ascii="Calibri" w:hAnsi="Calibri" w:cs="Calibri"/>
        </w:rPr>
        <w:t xml:space="preserve">may be required to evidence literacy and </w:t>
      </w:r>
      <w:r w:rsidR="00583A97" w:rsidRPr="5D98B430">
        <w:rPr>
          <w:rFonts w:ascii="Calibri" w:hAnsi="Calibri" w:cs="Calibri"/>
        </w:rPr>
        <w:t>mathematical</w:t>
      </w:r>
      <w:r w:rsidR="00706B07" w:rsidRPr="5D98B430">
        <w:rPr>
          <w:rFonts w:ascii="Calibri" w:hAnsi="Calibri" w:cs="Calibri"/>
        </w:rPr>
        <w:t xml:space="preserve"> competence.</w:t>
      </w:r>
    </w:p>
    <w:p w14:paraId="236E69F8" w14:textId="60C1DE13" w:rsidR="00ED4301" w:rsidRDefault="00644ACD" w:rsidP="691E46C7">
      <w:pPr>
        <w:jc w:val="both"/>
        <w:rPr>
          <w:rFonts w:ascii="Calibri" w:hAnsi="Calibri" w:cs="Calibri"/>
        </w:rPr>
      </w:pPr>
      <w:r w:rsidRPr="5D98B430">
        <w:rPr>
          <w:rFonts w:ascii="Calibri" w:hAnsi="Calibri" w:cs="Calibri"/>
        </w:rPr>
        <w:t>All a</w:t>
      </w:r>
      <w:r w:rsidR="009A042F" w:rsidRPr="5D98B430">
        <w:rPr>
          <w:rFonts w:ascii="Calibri" w:hAnsi="Calibri" w:cs="Calibri"/>
        </w:rPr>
        <w:t xml:space="preserve">pplicants are </w:t>
      </w:r>
      <w:r w:rsidR="00583A97" w:rsidRPr="5D98B430">
        <w:rPr>
          <w:rFonts w:ascii="Calibri" w:hAnsi="Calibri" w:cs="Calibri"/>
        </w:rPr>
        <w:t xml:space="preserve">normally </w:t>
      </w:r>
      <w:r w:rsidR="009A042F" w:rsidRPr="5D98B430">
        <w:rPr>
          <w:rFonts w:ascii="Calibri" w:hAnsi="Calibri" w:cs="Calibri"/>
        </w:rPr>
        <w:t>expected to successfully complete any courses currently being studied</w:t>
      </w:r>
      <w:r w:rsidR="00FE3F78" w:rsidRPr="5D98B430">
        <w:rPr>
          <w:rFonts w:ascii="Calibri" w:hAnsi="Calibri" w:cs="Calibri"/>
        </w:rPr>
        <w:t xml:space="preserve"> </w:t>
      </w:r>
      <w:r w:rsidR="009A042F" w:rsidRPr="5D98B430">
        <w:rPr>
          <w:rFonts w:ascii="Calibri" w:hAnsi="Calibri" w:cs="Calibri"/>
        </w:rPr>
        <w:t xml:space="preserve">which are relevant to their application. Some progression routes have essential and/or desirable entry criteria. A full list of these criteria can be found on the </w:t>
      </w:r>
      <w:r w:rsidR="00FF0E63" w:rsidRPr="5D98B430">
        <w:rPr>
          <w:rFonts w:ascii="Calibri" w:hAnsi="Calibri" w:cs="Calibri"/>
        </w:rPr>
        <w:t>Foundation Programme</w:t>
      </w:r>
      <w:r w:rsidR="009A042F" w:rsidRPr="5D98B430">
        <w:rPr>
          <w:rFonts w:ascii="Calibri" w:hAnsi="Calibri" w:cs="Calibri"/>
        </w:rPr>
        <w:t xml:space="preserve"> website (</w:t>
      </w:r>
      <w:hyperlink r:id="rId12">
        <w:r w:rsidRPr="5D98B430">
          <w:rPr>
            <w:rStyle w:val="Hyperlink"/>
          </w:rPr>
          <w:t>https://www.dur.ac.uk/dcad/study/foundation/</w:t>
        </w:r>
      </w:hyperlink>
      <w:r w:rsidR="009A042F" w:rsidRPr="5D98B430">
        <w:rPr>
          <w:rFonts w:ascii="Calibri" w:hAnsi="Calibri" w:cs="Calibri"/>
        </w:rPr>
        <w:t>). Some progressing departments may also request admissions tests (e.g. LNAT for Law</w:t>
      </w:r>
      <w:r w:rsidR="00583A97" w:rsidRPr="5D98B430">
        <w:rPr>
          <w:rFonts w:ascii="Calibri" w:hAnsi="Calibri" w:cs="Calibri"/>
        </w:rPr>
        <w:t xml:space="preserve"> and ABRSM for Music</w:t>
      </w:r>
      <w:r w:rsidR="009A042F" w:rsidRPr="5D98B430">
        <w:rPr>
          <w:rFonts w:ascii="Calibri" w:hAnsi="Calibri" w:cs="Calibri"/>
        </w:rPr>
        <w:t xml:space="preserve">). </w:t>
      </w:r>
      <w:r w:rsidR="00ED4301" w:rsidRPr="5D98B430">
        <w:rPr>
          <w:rFonts w:ascii="Calibri" w:hAnsi="Calibri" w:cs="Calibri"/>
        </w:rPr>
        <w:t xml:space="preserve">Applicants for any </w:t>
      </w:r>
      <w:r w:rsidR="00FF0E63" w:rsidRPr="5D98B430">
        <w:rPr>
          <w:rFonts w:ascii="Calibri" w:hAnsi="Calibri" w:cs="Calibri"/>
        </w:rPr>
        <w:t>Foundation Programme</w:t>
      </w:r>
      <w:r w:rsidR="00ED4301" w:rsidRPr="5D98B430">
        <w:rPr>
          <w:rFonts w:ascii="Calibri" w:hAnsi="Calibri" w:cs="Calibri"/>
        </w:rPr>
        <w:t xml:space="preserve"> </w:t>
      </w:r>
      <w:r w:rsidR="00FF0E63" w:rsidRPr="5D98B430">
        <w:rPr>
          <w:rFonts w:ascii="Calibri" w:hAnsi="Calibri" w:cs="Calibri"/>
        </w:rPr>
        <w:t>course</w:t>
      </w:r>
      <w:r w:rsidR="00ED4301" w:rsidRPr="5D98B430">
        <w:rPr>
          <w:rFonts w:ascii="Calibri" w:hAnsi="Calibri" w:cs="Calibri"/>
        </w:rPr>
        <w:t xml:space="preserve"> may be required to </w:t>
      </w:r>
      <w:r w:rsidR="7655C3B4" w:rsidRPr="5D98B430">
        <w:rPr>
          <w:rFonts w:ascii="Calibri" w:hAnsi="Calibri" w:cs="Calibri"/>
        </w:rPr>
        <w:t>complete p</w:t>
      </w:r>
      <w:r w:rsidR="00612480" w:rsidRPr="5D98B430">
        <w:rPr>
          <w:rFonts w:ascii="Calibri" w:hAnsi="Calibri" w:cs="Calibri"/>
        </w:rPr>
        <w:t>re-offer</w:t>
      </w:r>
      <w:r w:rsidR="00ED4301" w:rsidRPr="5D98B430">
        <w:rPr>
          <w:rFonts w:ascii="Calibri" w:hAnsi="Calibri" w:cs="Calibri"/>
        </w:rPr>
        <w:t xml:space="preserve"> assessment</w:t>
      </w:r>
      <w:r w:rsidR="00612480" w:rsidRPr="5D98B430">
        <w:rPr>
          <w:rFonts w:ascii="Calibri" w:hAnsi="Calibri" w:cs="Calibri"/>
        </w:rPr>
        <w:t xml:space="preserve"> </w:t>
      </w:r>
      <w:r w:rsidR="537B28F8" w:rsidRPr="5D98B430">
        <w:rPr>
          <w:rFonts w:ascii="Calibri" w:hAnsi="Calibri" w:cs="Calibri"/>
        </w:rPr>
        <w:t>activities</w:t>
      </w:r>
      <w:r w:rsidR="00ED4301" w:rsidRPr="5D98B430">
        <w:rPr>
          <w:rFonts w:ascii="Calibri" w:hAnsi="Calibri" w:cs="Calibri"/>
        </w:rPr>
        <w:t>.</w:t>
      </w:r>
    </w:p>
    <w:p w14:paraId="5DE4111B" w14:textId="5839701A" w:rsidR="009A042F" w:rsidRPr="005B0A3E" w:rsidRDefault="009A042F" w:rsidP="00612480">
      <w:pPr>
        <w:jc w:val="both"/>
        <w:rPr>
          <w:rFonts w:ascii="Calibri" w:hAnsi="Calibri" w:cs="Calibri"/>
        </w:rPr>
      </w:pPr>
      <w:r w:rsidRPr="1563C6D7">
        <w:rPr>
          <w:rFonts w:ascii="Calibri" w:hAnsi="Calibri" w:cs="Calibri"/>
        </w:rPr>
        <w:t xml:space="preserve">Students who do not have English as a first language are required to demonstrate English Language ability. </w:t>
      </w:r>
      <w:r w:rsidR="79E09EAC" w:rsidRPr="1563C6D7">
        <w:rPr>
          <w:rFonts w:ascii="Calibri" w:hAnsi="Calibri" w:cs="Calibri"/>
        </w:rPr>
        <w:t xml:space="preserve">Foundation Programmes courses </w:t>
      </w:r>
      <w:r w:rsidRPr="1563C6D7">
        <w:rPr>
          <w:rFonts w:ascii="Calibri" w:hAnsi="Calibri" w:cs="Calibri"/>
        </w:rPr>
        <w:t xml:space="preserve">normally require a minimum IELTS (or University approved equivalent) overall score of 6.0, with no element below 5.5. However, some </w:t>
      </w:r>
      <w:r w:rsidR="1826E8CE" w:rsidRPr="1563C6D7">
        <w:rPr>
          <w:rFonts w:ascii="Calibri" w:hAnsi="Calibri" w:cs="Calibri"/>
        </w:rPr>
        <w:t xml:space="preserve">Foundation </w:t>
      </w:r>
      <w:r w:rsidR="4D951CF6" w:rsidRPr="1563C6D7">
        <w:rPr>
          <w:rFonts w:ascii="Calibri" w:hAnsi="Calibri" w:cs="Calibri"/>
        </w:rPr>
        <w:t xml:space="preserve">courses </w:t>
      </w:r>
      <w:r w:rsidRPr="1563C6D7">
        <w:rPr>
          <w:rFonts w:ascii="Calibri" w:hAnsi="Calibri" w:cs="Calibri"/>
        </w:rPr>
        <w:t xml:space="preserve">may require a higher IELTS. </w:t>
      </w:r>
    </w:p>
    <w:p w14:paraId="117113A0" w14:textId="4B2C9843" w:rsidR="009A042F" w:rsidRPr="00A15F44" w:rsidRDefault="009A042F" w:rsidP="00612480">
      <w:pPr>
        <w:jc w:val="both"/>
        <w:rPr>
          <w:rFonts w:ascii="Calibri" w:hAnsi="Calibri" w:cs="Calibri"/>
        </w:rPr>
      </w:pPr>
      <w:r w:rsidRPr="00A15F44">
        <w:rPr>
          <w:rFonts w:ascii="Calibri" w:hAnsi="Calibri" w:cs="Calibri"/>
        </w:rPr>
        <w:lastRenderedPageBreak/>
        <w:t>The suitability of applicants will be considered based on a combination of application, reference, personal statement, informal discussion,</w:t>
      </w:r>
      <w:r w:rsidR="00ED4301">
        <w:rPr>
          <w:rFonts w:ascii="Calibri" w:hAnsi="Calibri" w:cs="Calibri"/>
        </w:rPr>
        <w:t xml:space="preserve"> assessment of suitability</w:t>
      </w:r>
      <w:r w:rsidR="114E0562">
        <w:rPr>
          <w:rFonts w:ascii="Calibri" w:hAnsi="Calibri" w:cs="Calibri"/>
        </w:rPr>
        <w:t xml:space="preserve"> (e.g. English test)</w:t>
      </w:r>
      <w:r w:rsidRPr="00A15F44">
        <w:rPr>
          <w:rFonts w:ascii="Calibri" w:hAnsi="Calibri" w:cs="Calibri"/>
        </w:rPr>
        <w:t xml:space="preserve"> and/or interview (as permitted by the University Undergraduate Admissions Policy</w:t>
      </w:r>
      <w:r>
        <w:rPr>
          <w:rStyle w:val="FootnoteReference"/>
          <w:rFonts w:ascii="Calibri" w:hAnsi="Calibri" w:cs="Calibri"/>
        </w:rPr>
        <w:footnoteReference w:id="5"/>
      </w:r>
      <w:r w:rsidRPr="00A15F44">
        <w:rPr>
          <w:rFonts w:ascii="Calibri" w:hAnsi="Calibri" w:cs="Calibri"/>
        </w:rPr>
        <w:t>).</w:t>
      </w:r>
    </w:p>
    <w:p w14:paraId="55A65B7A" w14:textId="389FF783" w:rsidR="009A042F" w:rsidRPr="00A15F44" w:rsidRDefault="009A042F" w:rsidP="009A042F">
      <w:pPr>
        <w:jc w:val="both"/>
        <w:rPr>
          <w:rFonts w:ascii="Calibri" w:hAnsi="Calibri" w:cs="Calibri"/>
        </w:rPr>
      </w:pPr>
      <w:r w:rsidRPr="00A15F44">
        <w:rPr>
          <w:rFonts w:ascii="Calibri" w:hAnsi="Calibri" w:cs="Calibri"/>
        </w:rPr>
        <w:t xml:space="preserve">Applicants </w:t>
      </w:r>
      <w:r w:rsidR="00E36A92" w:rsidRPr="00E36A92">
        <w:rPr>
          <w:rFonts w:ascii="Calibri" w:hAnsi="Calibri" w:cs="Calibri"/>
          <w:lang w:val="en"/>
        </w:rPr>
        <w:t>who will not turn 18 years of age before 1 September following their registration at the University will not be offered entry.</w:t>
      </w:r>
      <w:r w:rsidR="00E36A92">
        <w:rPr>
          <w:rFonts w:ascii="Calibri" w:hAnsi="Calibri" w:cs="Calibri"/>
          <w:lang w:val="en"/>
        </w:rPr>
        <w:t xml:space="preserve"> </w:t>
      </w:r>
      <w:r w:rsidR="00E36A92" w:rsidRPr="00E36A92">
        <w:rPr>
          <w:rFonts w:ascii="Calibri" w:hAnsi="Calibri" w:cs="Calibri"/>
          <w:lang w:val="en"/>
        </w:rPr>
        <w:t xml:space="preserve">However, in some cases, the University admits students who are 17 at the start of their degree </w:t>
      </w:r>
      <w:proofErr w:type="spellStart"/>
      <w:r w:rsidR="00E36A92" w:rsidRPr="00E36A92">
        <w:rPr>
          <w:rFonts w:ascii="Calibri" w:hAnsi="Calibri" w:cs="Calibri"/>
          <w:lang w:val="en"/>
        </w:rPr>
        <w:t>programme</w:t>
      </w:r>
      <w:proofErr w:type="spellEnd"/>
      <w:r w:rsidR="00E36A92" w:rsidRPr="00E36A92">
        <w:rPr>
          <w:rFonts w:ascii="Calibri" w:hAnsi="Calibri" w:cs="Calibri"/>
          <w:lang w:val="en"/>
        </w:rPr>
        <w:t xml:space="preserve"> but who will turn 18 before 1 September following their registration at the University.</w:t>
      </w:r>
      <w:r w:rsidR="00E36A92">
        <w:rPr>
          <w:rFonts w:ascii="Calibri" w:hAnsi="Calibri" w:cs="Calibri"/>
          <w:lang w:val="en"/>
        </w:rPr>
        <w:t xml:space="preserve"> Conditions that apply to such students can be viewed here: </w:t>
      </w:r>
      <w:hyperlink r:id="rId13" w:history="1">
        <w:r w:rsidR="00E36A92" w:rsidRPr="00A36748">
          <w:rPr>
            <w:rStyle w:val="Hyperlink"/>
            <w:rFonts w:ascii="Calibri" w:hAnsi="Calibri" w:cs="Calibri"/>
            <w:lang w:val="en"/>
          </w:rPr>
          <w:t>https://www.dur.ac.uk/undergraduate/study/apply/under18entrants/</w:t>
        </w:r>
      </w:hyperlink>
    </w:p>
    <w:p w14:paraId="6A104204" w14:textId="4175BD37" w:rsidR="009A042F" w:rsidRDefault="009A042F" w:rsidP="009A042F">
      <w:pPr>
        <w:jc w:val="both"/>
        <w:rPr>
          <w:rFonts w:ascii="Calibri" w:hAnsi="Calibri" w:cs="Calibri"/>
        </w:rPr>
      </w:pPr>
      <w:r w:rsidRPr="30B4A4BD">
        <w:rPr>
          <w:rFonts w:ascii="Calibri" w:hAnsi="Calibri" w:cs="Calibri"/>
        </w:rPr>
        <w:t xml:space="preserve">The </w:t>
      </w:r>
      <w:r w:rsidR="00FF0E63" w:rsidRPr="30B4A4BD">
        <w:rPr>
          <w:rFonts w:ascii="Calibri" w:hAnsi="Calibri" w:cs="Calibri"/>
        </w:rPr>
        <w:t>Foundation Programme</w:t>
      </w:r>
      <w:r w:rsidRPr="30B4A4BD">
        <w:rPr>
          <w:rFonts w:ascii="Calibri" w:hAnsi="Calibri" w:cs="Calibri"/>
        </w:rPr>
        <w:t xml:space="preserve"> follow</w:t>
      </w:r>
      <w:r w:rsidR="00297B0E" w:rsidRPr="30B4A4BD">
        <w:rPr>
          <w:rFonts w:ascii="Calibri" w:hAnsi="Calibri" w:cs="Calibri"/>
        </w:rPr>
        <w:t>s</w:t>
      </w:r>
      <w:r w:rsidRPr="30B4A4BD">
        <w:rPr>
          <w:rFonts w:ascii="Calibri" w:hAnsi="Calibri" w:cs="Calibri"/>
        </w:rPr>
        <w:t xml:space="preserve"> the University Policy on Diversity</w:t>
      </w:r>
      <w:r w:rsidR="4A140AAF" w:rsidRPr="30B4A4BD">
        <w:rPr>
          <w:rFonts w:ascii="Calibri" w:hAnsi="Calibri" w:cs="Calibri"/>
        </w:rPr>
        <w:t xml:space="preserve">, </w:t>
      </w:r>
      <w:r w:rsidRPr="30B4A4BD">
        <w:rPr>
          <w:rFonts w:ascii="Calibri" w:hAnsi="Calibri" w:cs="Calibri"/>
        </w:rPr>
        <w:t>Equality</w:t>
      </w:r>
      <w:r w:rsidR="307A5FB3" w:rsidRPr="30B4A4BD">
        <w:rPr>
          <w:rFonts w:ascii="Calibri" w:hAnsi="Calibri" w:cs="Calibri"/>
        </w:rPr>
        <w:t xml:space="preserve"> and Inclusion</w:t>
      </w:r>
      <w:r w:rsidRPr="30B4A4BD">
        <w:rPr>
          <w:rFonts w:ascii="Calibri" w:hAnsi="Calibri" w:cs="Calibri"/>
        </w:rPr>
        <w:t>.</w:t>
      </w:r>
    </w:p>
    <w:p w14:paraId="77507C76" w14:textId="77777777" w:rsidR="009A042F" w:rsidRPr="00C406D2" w:rsidRDefault="009A042F" w:rsidP="00612480">
      <w:pPr>
        <w:pStyle w:val="Heading2"/>
      </w:pPr>
      <w:r w:rsidRPr="00A15F44">
        <w:t>Progression Routes:</w:t>
      </w:r>
    </w:p>
    <w:p w14:paraId="65C3B705" w14:textId="08DA2746" w:rsidR="009A042F" w:rsidRDefault="009A042F" w:rsidP="00612480">
      <w:pPr>
        <w:jc w:val="both"/>
        <w:rPr>
          <w:rFonts w:ascii="Calibri" w:hAnsi="Calibri" w:cs="Calibri"/>
        </w:rPr>
      </w:pPr>
      <w:r w:rsidRPr="74032E3C">
        <w:rPr>
          <w:rFonts w:ascii="Calibri" w:hAnsi="Calibri" w:cs="Calibri"/>
        </w:rPr>
        <w:t xml:space="preserve">The </w:t>
      </w:r>
      <w:r w:rsidR="00FF0E63" w:rsidRPr="74032E3C">
        <w:rPr>
          <w:rFonts w:ascii="Calibri" w:hAnsi="Calibri" w:cs="Calibri"/>
        </w:rPr>
        <w:t>Foundation Programme</w:t>
      </w:r>
      <w:r w:rsidRPr="74032E3C">
        <w:rPr>
          <w:rFonts w:ascii="Calibri" w:hAnsi="Calibri" w:cs="Calibri"/>
        </w:rPr>
        <w:t xml:space="preserve"> liaises with receiving departments regarding student progression. There are different levels of input from progressing departments. </w:t>
      </w:r>
    </w:p>
    <w:p w14:paraId="20513A46" w14:textId="6BE74064" w:rsidR="00612480" w:rsidRDefault="00612480" w:rsidP="009A042F">
      <w:pPr>
        <w:jc w:val="both"/>
        <w:rPr>
          <w:rFonts w:ascii="Calibri" w:hAnsi="Calibri" w:cs="Calibri"/>
        </w:rPr>
      </w:pPr>
      <w:r w:rsidRPr="30B4A4BD">
        <w:rPr>
          <w:rFonts w:ascii="Calibri" w:hAnsi="Calibri" w:cs="Calibri"/>
        </w:rPr>
        <w:t>P</w:t>
      </w:r>
      <w:r w:rsidR="009A042F" w:rsidRPr="30B4A4BD">
        <w:rPr>
          <w:rFonts w:ascii="Calibri" w:hAnsi="Calibri" w:cs="Calibri"/>
        </w:rPr>
        <w:t>rogression routes change depending on University Policy and student demand</w:t>
      </w:r>
      <w:r w:rsidR="00F65EE0" w:rsidRPr="30B4A4BD">
        <w:rPr>
          <w:rFonts w:ascii="Calibri" w:hAnsi="Calibri" w:cs="Calibri"/>
        </w:rPr>
        <w:t>.</w:t>
      </w:r>
    </w:p>
    <w:p w14:paraId="012971E6" w14:textId="77777777" w:rsidR="009A042F" w:rsidRPr="00A15F44" w:rsidRDefault="009A042F" w:rsidP="00612480">
      <w:pPr>
        <w:pStyle w:val="Heading2"/>
      </w:pPr>
      <w:r w:rsidRPr="00A15F44">
        <w:t xml:space="preserve">Admissions Procedure: </w:t>
      </w:r>
    </w:p>
    <w:p w14:paraId="2E0328AC" w14:textId="193E1488" w:rsidR="009A042F" w:rsidRPr="00A15F44" w:rsidRDefault="009A042F" w:rsidP="750AAAA9">
      <w:pPr>
        <w:jc w:val="both"/>
        <w:rPr>
          <w:rStyle w:val="Hyperlink"/>
          <w:color w:val="FF0000"/>
        </w:rPr>
      </w:pPr>
      <w:r w:rsidRPr="74032E3C">
        <w:rPr>
          <w:rFonts w:ascii="Calibri" w:hAnsi="Calibri" w:cs="Calibri"/>
        </w:rPr>
        <w:t>All full-time applications are made through the UCAS system. Part-time applications are made via the</w:t>
      </w:r>
      <w:r w:rsidR="00612480" w:rsidRPr="74032E3C">
        <w:rPr>
          <w:rFonts w:ascii="Calibri" w:hAnsi="Calibri" w:cs="Calibri"/>
        </w:rPr>
        <w:t xml:space="preserve"> University Application Form.</w:t>
      </w:r>
      <w:r w:rsidRPr="74032E3C">
        <w:rPr>
          <w:rFonts w:ascii="Calibri" w:hAnsi="Calibri" w:cs="Calibri"/>
        </w:rPr>
        <w:t xml:space="preserve"> Normally all applicants are invited to participate in an information, advice and guidance session. This may take place before or after the UCAS application. Information, advice and guidance discussions may be used to inform decisions on applications. Other support</w:t>
      </w:r>
      <w:r w:rsidR="00ED4301" w:rsidRPr="74032E3C">
        <w:rPr>
          <w:rFonts w:ascii="Calibri" w:hAnsi="Calibri" w:cs="Calibri"/>
        </w:rPr>
        <w:t>ing information may be required, and</w:t>
      </w:r>
      <w:r w:rsidR="004A2003" w:rsidRPr="74032E3C">
        <w:rPr>
          <w:rFonts w:ascii="Calibri" w:hAnsi="Calibri" w:cs="Calibri"/>
        </w:rPr>
        <w:t xml:space="preserve"> </w:t>
      </w:r>
      <w:r w:rsidR="00ED4301" w:rsidRPr="74032E3C">
        <w:rPr>
          <w:rFonts w:ascii="Calibri" w:hAnsi="Calibri" w:cs="Calibri"/>
        </w:rPr>
        <w:t xml:space="preserve">applicants </w:t>
      </w:r>
      <w:r w:rsidR="00151CE0">
        <w:rPr>
          <w:rFonts w:ascii="Calibri" w:hAnsi="Calibri" w:cs="Calibri"/>
        </w:rPr>
        <w:t xml:space="preserve">are normally required </w:t>
      </w:r>
      <w:r w:rsidR="00ED4301" w:rsidRPr="74032E3C">
        <w:rPr>
          <w:rFonts w:ascii="Calibri" w:hAnsi="Calibri" w:cs="Calibri"/>
        </w:rPr>
        <w:t>may be required to</w:t>
      </w:r>
      <w:r w:rsidR="1D34EC70" w:rsidRPr="74032E3C">
        <w:rPr>
          <w:rFonts w:ascii="Calibri" w:hAnsi="Calibri" w:cs="Calibri"/>
        </w:rPr>
        <w:t xml:space="preserve"> c</w:t>
      </w:r>
      <w:r w:rsidR="7D41B2D7" w:rsidRPr="74032E3C">
        <w:rPr>
          <w:rFonts w:ascii="Calibri" w:hAnsi="Calibri" w:cs="Calibri"/>
        </w:rPr>
        <w:t>omplete online writing assessment</w:t>
      </w:r>
      <w:r w:rsidR="73A80FDA" w:rsidRPr="74032E3C">
        <w:rPr>
          <w:rFonts w:ascii="Calibri" w:hAnsi="Calibri" w:cs="Calibri"/>
        </w:rPr>
        <w:t xml:space="preserve">. </w:t>
      </w:r>
      <w:r w:rsidR="7D41B2D7" w:rsidRPr="74032E3C">
        <w:rPr>
          <w:rFonts w:ascii="Calibri" w:hAnsi="Calibri" w:cs="Calibri"/>
        </w:rPr>
        <w:t>All applicants will normally be required to participate in an interview, which may be</w:t>
      </w:r>
      <w:r w:rsidR="50338D82" w:rsidRPr="74032E3C">
        <w:rPr>
          <w:rFonts w:ascii="Calibri" w:hAnsi="Calibri" w:cs="Calibri"/>
        </w:rPr>
        <w:t xml:space="preserve"> in person, or online. Assessments and interviews normally take place between </w:t>
      </w:r>
      <w:r w:rsidR="6A02D9EC" w:rsidRPr="00151CE0">
        <w:rPr>
          <w:rFonts w:ascii="Calibri" w:hAnsi="Calibri" w:cs="Calibri"/>
        </w:rPr>
        <w:t>December</w:t>
      </w:r>
      <w:r w:rsidR="50338D82" w:rsidRPr="74032E3C">
        <w:rPr>
          <w:rFonts w:ascii="Calibri" w:hAnsi="Calibri" w:cs="Calibri"/>
        </w:rPr>
        <w:t xml:space="preserve"> and March. </w:t>
      </w:r>
      <w:r w:rsidR="00297B0E" w:rsidRPr="74032E3C">
        <w:rPr>
          <w:rFonts w:ascii="Calibri" w:hAnsi="Calibri" w:cs="Calibri"/>
        </w:rPr>
        <w:t xml:space="preserve"> Students who are invited to </w:t>
      </w:r>
      <w:r w:rsidR="483518CE" w:rsidRPr="74032E3C">
        <w:rPr>
          <w:rFonts w:ascii="Calibri" w:hAnsi="Calibri" w:cs="Calibri"/>
        </w:rPr>
        <w:t>complete an</w:t>
      </w:r>
      <w:r w:rsidR="00297B0E" w:rsidRPr="74032E3C">
        <w:rPr>
          <w:rFonts w:ascii="Calibri" w:hAnsi="Calibri" w:cs="Calibri"/>
        </w:rPr>
        <w:t xml:space="preserve"> assessment </w:t>
      </w:r>
      <w:r w:rsidR="2A20B275" w:rsidRPr="74032E3C">
        <w:rPr>
          <w:rFonts w:ascii="Calibri" w:hAnsi="Calibri" w:cs="Calibri"/>
        </w:rPr>
        <w:t>and/or interview</w:t>
      </w:r>
      <w:r w:rsidR="00297B0E" w:rsidRPr="74032E3C">
        <w:rPr>
          <w:rFonts w:ascii="Calibri" w:hAnsi="Calibri" w:cs="Calibri"/>
        </w:rPr>
        <w:t xml:space="preserve">, but do not </w:t>
      </w:r>
      <w:r w:rsidR="388A0C2E" w:rsidRPr="74032E3C">
        <w:rPr>
          <w:rFonts w:ascii="Calibri" w:hAnsi="Calibri" w:cs="Calibri"/>
        </w:rPr>
        <w:t>do so</w:t>
      </w:r>
      <w:r w:rsidR="00297B0E" w:rsidRPr="74032E3C">
        <w:rPr>
          <w:rFonts w:ascii="Calibri" w:hAnsi="Calibri" w:cs="Calibri"/>
        </w:rPr>
        <w:t xml:space="preserve">, will not be offered a place. </w:t>
      </w:r>
    </w:p>
    <w:p w14:paraId="4A3C1717" w14:textId="77777777" w:rsidR="009A042F" w:rsidRPr="00A15F44" w:rsidRDefault="009A042F" w:rsidP="00CC7C10">
      <w:pPr>
        <w:jc w:val="both"/>
        <w:rPr>
          <w:rFonts w:ascii="Calibri" w:hAnsi="Calibri" w:cs="Calibri"/>
        </w:rPr>
      </w:pPr>
    </w:p>
    <w:p w14:paraId="7E4EB311" w14:textId="77777777" w:rsidR="009A042F" w:rsidRPr="00612480" w:rsidRDefault="009A042F" w:rsidP="00612480">
      <w:pPr>
        <w:pStyle w:val="Heading2"/>
      </w:pPr>
      <w:r w:rsidRPr="00DD1213">
        <w:t xml:space="preserve">Glossary of Terms: </w:t>
      </w:r>
    </w:p>
    <w:p w14:paraId="2C38964D" w14:textId="77777777" w:rsidR="00612480" w:rsidRPr="00612480" w:rsidRDefault="00612480" w:rsidP="00612480">
      <w:pPr>
        <w:pStyle w:val="Heading3"/>
      </w:pPr>
      <w:r w:rsidRPr="00612480">
        <w:t>Access</w:t>
      </w:r>
    </w:p>
    <w:p w14:paraId="11EADD05" w14:textId="77777777" w:rsidR="00612480" w:rsidRDefault="00612480" w:rsidP="691E46C7">
      <w:pPr>
        <w:jc w:val="both"/>
        <w:rPr>
          <w:rFonts w:ascii="Calibri" w:hAnsi="Calibri" w:cs="Calibri"/>
        </w:rPr>
      </w:pPr>
      <w:r w:rsidRPr="691E46C7">
        <w:rPr>
          <w:rFonts w:ascii="Calibri" w:hAnsi="Calibri" w:cs="Calibri"/>
        </w:rPr>
        <w:t xml:space="preserve">Activity to support underrepresented groups to access higher education. This may include: </w:t>
      </w:r>
    </w:p>
    <w:p w14:paraId="7A2DC282" w14:textId="2C6BAF25" w:rsidR="00612480" w:rsidRPr="00612480" w:rsidRDefault="00612480" w:rsidP="691E46C7">
      <w:pPr>
        <w:pStyle w:val="ListParagraph"/>
        <w:numPr>
          <w:ilvl w:val="0"/>
          <w:numId w:val="3"/>
        </w:numPr>
        <w:jc w:val="both"/>
        <w:rPr>
          <w:rFonts w:ascii="Calibri" w:hAnsi="Calibri" w:cs="Calibri"/>
        </w:rPr>
      </w:pPr>
      <w:r w:rsidRPr="691E46C7">
        <w:rPr>
          <w:rFonts w:ascii="Calibri" w:hAnsi="Calibri" w:cs="Calibri"/>
        </w:rPr>
        <w:t xml:space="preserve">sustained and progressive programmes of targeted outreach with schools, </w:t>
      </w:r>
      <w:r w:rsidR="00151CE0" w:rsidRPr="691E46C7">
        <w:rPr>
          <w:rFonts w:ascii="Calibri" w:hAnsi="Calibri" w:cs="Calibri"/>
        </w:rPr>
        <w:t>colleges,</w:t>
      </w:r>
      <w:r w:rsidRPr="691E46C7">
        <w:rPr>
          <w:rFonts w:ascii="Calibri" w:hAnsi="Calibri" w:cs="Calibri"/>
        </w:rPr>
        <w:t xml:space="preserve"> and job centres</w:t>
      </w:r>
    </w:p>
    <w:p w14:paraId="488BF02F" w14:textId="77777777" w:rsidR="00612480" w:rsidRPr="00612480" w:rsidRDefault="00612480" w:rsidP="691E46C7">
      <w:pPr>
        <w:pStyle w:val="ListParagraph"/>
        <w:numPr>
          <w:ilvl w:val="0"/>
          <w:numId w:val="3"/>
        </w:numPr>
        <w:jc w:val="both"/>
        <w:rPr>
          <w:rFonts w:ascii="Calibri" w:hAnsi="Calibri" w:cs="Calibri"/>
        </w:rPr>
      </w:pPr>
      <w:r w:rsidRPr="691E46C7">
        <w:rPr>
          <w:rFonts w:ascii="Calibri" w:hAnsi="Calibri" w:cs="Calibri"/>
        </w:rPr>
        <w:t>broader collaborative activities with employers, third sector organisations and other education providers.</w:t>
      </w:r>
    </w:p>
    <w:p w14:paraId="3B8A17C3" w14:textId="77777777" w:rsidR="00612480" w:rsidRPr="00612480" w:rsidRDefault="00612480" w:rsidP="691E46C7">
      <w:pPr>
        <w:pStyle w:val="ListParagraph"/>
        <w:numPr>
          <w:ilvl w:val="0"/>
          <w:numId w:val="3"/>
        </w:numPr>
        <w:jc w:val="both"/>
        <w:rPr>
          <w:rFonts w:ascii="Calibri" w:hAnsi="Calibri" w:cs="Calibri"/>
        </w:rPr>
      </w:pPr>
      <w:r w:rsidRPr="691E46C7">
        <w:rPr>
          <w:rFonts w:ascii="Calibri" w:hAnsi="Calibri" w:cs="Calibri"/>
        </w:rPr>
        <w:t>Activities may include summer schools, peer mentoring schemes or progression agreements.</w:t>
      </w:r>
    </w:p>
    <w:p w14:paraId="3BBE61C4" w14:textId="77777777" w:rsidR="00612480" w:rsidRPr="00612480" w:rsidRDefault="00612480" w:rsidP="691E46C7">
      <w:pPr>
        <w:jc w:val="both"/>
        <w:rPr>
          <w:rFonts w:ascii="Calibri" w:hAnsi="Calibri" w:cs="Calibri"/>
        </w:rPr>
      </w:pPr>
      <w:r w:rsidRPr="64F084AF">
        <w:rPr>
          <w:rFonts w:ascii="Calibri" w:hAnsi="Calibri" w:cs="Calibri"/>
        </w:rPr>
        <w:t>Access is the first stage in the whole student lifecycle.</w:t>
      </w:r>
    </w:p>
    <w:p w14:paraId="11B97273" w14:textId="1B93339A" w:rsidR="00612480" w:rsidRDefault="009A042F" w:rsidP="00612480">
      <w:pPr>
        <w:jc w:val="both"/>
        <w:rPr>
          <w:rStyle w:val="Heading3Char"/>
        </w:rPr>
      </w:pPr>
      <w:r w:rsidRPr="00612480">
        <w:rPr>
          <w:rStyle w:val="Heading3Char"/>
        </w:rPr>
        <w:lastRenderedPageBreak/>
        <w:t>Under-represented groups</w:t>
      </w:r>
    </w:p>
    <w:p w14:paraId="12685BE1" w14:textId="77777777" w:rsidR="00612480" w:rsidRPr="00612480" w:rsidRDefault="00612480" w:rsidP="691E46C7">
      <w:pPr>
        <w:jc w:val="both"/>
        <w:rPr>
          <w:rFonts w:ascii="Calibri" w:hAnsi="Calibri" w:cs="Calibri"/>
        </w:rPr>
      </w:pPr>
      <w:r w:rsidRPr="691E46C7">
        <w:rPr>
          <w:rFonts w:ascii="Calibri" w:hAnsi="Calibri" w:cs="Calibri"/>
        </w:rPr>
        <w:t xml:space="preserve">Groups of students who share the following </w:t>
      </w:r>
      <w:proofErr w:type="gramStart"/>
      <w:r w:rsidRPr="691E46C7">
        <w:rPr>
          <w:rFonts w:ascii="Calibri" w:hAnsi="Calibri" w:cs="Calibri"/>
        </w:rPr>
        <w:t>particular characteristics</w:t>
      </w:r>
      <w:proofErr w:type="gramEnd"/>
      <w:r w:rsidRPr="691E46C7">
        <w:rPr>
          <w:rFonts w:ascii="Calibri" w:hAnsi="Calibri" w:cs="Calibri"/>
        </w:rPr>
        <w:t xml:space="preserve"> where data shows gaps in equality of opportunity in relation to access, success or progression:</w:t>
      </w:r>
    </w:p>
    <w:p w14:paraId="48997FC2" w14:textId="77777777" w:rsidR="00612480" w:rsidRPr="00612480" w:rsidRDefault="00612480" w:rsidP="691E46C7">
      <w:pPr>
        <w:pStyle w:val="ListParagraph"/>
        <w:numPr>
          <w:ilvl w:val="0"/>
          <w:numId w:val="2"/>
        </w:numPr>
        <w:jc w:val="both"/>
        <w:rPr>
          <w:rFonts w:ascii="Calibri" w:hAnsi="Calibri" w:cs="Calibri"/>
        </w:rPr>
      </w:pPr>
      <w:r w:rsidRPr="691E46C7">
        <w:rPr>
          <w:rFonts w:ascii="Calibri" w:hAnsi="Calibri" w:cs="Calibri"/>
        </w:rPr>
        <w:t>students from areas of low higher education participation, low household income or low socioeconomic status</w:t>
      </w:r>
    </w:p>
    <w:p w14:paraId="47F3B8F7" w14:textId="77777777" w:rsidR="00612480" w:rsidRPr="00612480" w:rsidRDefault="00612480" w:rsidP="691E46C7">
      <w:pPr>
        <w:pStyle w:val="ListParagraph"/>
        <w:numPr>
          <w:ilvl w:val="0"/>
          <w:numId w:val="2"/>
        </w:numPr>
        <w:jc w:val="both"/>
        <w:rPr>
          <w:rFonts w:ascii="Calibri" w:hAnsi="Calibri" w:cs="Calibri"/>
        </w:rPr>
      </w:pPr>
      <w:r w:rsidRPr="691E46C7">
        <w:rPr>
          <w:rFonts w:ascii="Calibri" w:hAnsi="Calibri" w:cs="Calibri"/>
        </w:rPr>
        <w:t>mature students</w:t>
      </w:r>
    </w:p>
    <w:p w14:paraId="6C0BC5AD" w14:textId="77777777" w:rsidR="00612480" w:rsidRPr="00612480" w:rsidRDefault="00612480" w:rsidP="691E46C7">
      <w:pPr>
        <w:pStyle w:val="ListParagraph"/>
        <w:numPr>
          <w:ilvl w:val="0"/>
          <w:numId w:val="2"/>
        </w:numPr>
        <w:jc w:val="both"/>
        <w:rPr>
          <w:rFonts w:ascii="Calibri" w:hAnsi="Calibri" w:cs="Calibri"/>
        </w:rPr>
      </w:pPr>
      <w:r w:rsidRPr="691E46C7">
        <w:rPr>
          <w:rFonts w:ascii="Calibri" w:hAnsi="Calibri" w:cs="Calibri"/>
        </w:rPr>
        <w:t>disabled students</w:t>
      </w:r>
    </w:p>
    <w:p w14:paraId="1AAB77E9" w14:textId="77777777" w:rsidR="00612480" w:rsidRPr="00612480" w:rsidRDefault="00612480" w:rsidP="691E46C7">
      <w:pPr>
        <w:pStyle w:val="ListParagraph"/>
        <w:numPr>
          <w:ilvl w:val="0"/>
          <w:numId w:val="2"/>
        </w:numPr>
        <w:jc w:val="both"/>
        <w:rPr>
          <w:rFonts w:ascii="Calibri" w:hAnsi="Calibri" w:cs="Calibri"/>
        </w:rPr>
      </w:pPr>
      <w:r w:rsidRPr="691E46C7">
        <w:rPr>
          <w:rFonts w:ascii="Calibri" w:hAnsi="Calibri" w:cs="Calibri"/>
        </w:rPr>
        <w:t>care leavers.</w:t>
      </w:r>
    </w:p>
    <w:p w14:paraId="3F23D513" w14:textId="77777777" w:rsidR="00612480" w:rsidRPr="00F65EE0" w:rsidRDefault="00612480" w:rsidP="691E46C7">
      <w:pPr>
        <w:jc w:val="both"/>
        <w:rPr>
          <w:rFonts w:ascii="Calibri" w:hAnsi="Calibri" w:cs="Calibri"/>
        </w:rPr>
      </w:pPr>
      <w:r w:rsidRPr="691E46C7">
        <w:rPr>
          <w:rFonts w:ascii="Calibri" w:hAnsi="Calibri" w:cs="Calibri"/>
        </w:rPr>
        <w:t xml:space="preserve">National data indicates that there are additional groups of students with </w:t>
      </w:r>
      <w:proofErr w:type="gramStart"/>
      <w:r w:rsidRPr="691E46C7">
        <w:rPr>
          <w:rFonts w:ascii="Calibri" w:hAnsi="Calibri" w:cs="Calibri"/>
        </w:rPr>
        <w:t>particular equality</w:t>
      </w:r>
      <w:proofErr w:type="gramEnd"/>
      <w:r w:rsidRPr="691E46C7">
        <w:rPr>
          <w:rFonts w:ascii="Calibri" w:hAnsi="Calibri" w:cs="Calibri"/>
        </w:rPr>
        <w:t xml:space="preserve"> gaps and support needs that can be addressed in an access and participation plan. These are also included in our definition of underrepresented groups:</w:t>
      </w:r>
    </w:p>
    <w:p w14:paraId="368C931E" w14:textId="77777777" w:rsidR="00612480" w:rsidRPr="00612480" w:rsidRDefault="00612480" w:rsidP="691E46C7">
      <w:pPr>
        <w:pStyle w:val="ListParagraph"/>
        <w:numPr>
          <w:ilvl w:val="0"/>
          <w:numId w:val="2"/>
        </w:numPr>
        <w:jc w:val="both"/>
        <w:rPr>
          <w:rFonts w:ascii="Calibri" w:hAnsi="Calibri" w:cs="Calibri"/>
        </w:rPr>
      </w:pPr>
      <w:r w:rsidRPr="691E46C7">
        <w:rPr>
          <w:rFonts w:ascii="Calibri" w:hAnsi="Calibri" w:cs="Calibri"/>
        </w:rPr>
        <w:t>people estranged from their families</w:t>
      </w:r>
    </w:p>
    <w:p w14:paraId="4E669C15" w14:textId="77777777" w:rsidR="00612480" w:rsidRPr="00612480" w:rsidRDefault="00612480" w:rsidP="691E46C7">
      <w:pPr>
        <w:pStyle w:val="ListParagraph"/>
        <w:numPr>
          <w:ilvl w:val="0"/>
          <w:numId w:val="2"/>
        </w:numPr>
        <w:jc w:val="both"/>
        <w:rPr>
          <w:rFonts w:ascii="Calibri" w:hAnsi="Calibri" w:cs="Calibri"/>
        </w:rPr>
      </w:pPr>
      <w:r w:rsidRPr="691E46C7">
        <w:rPr>
          <w:rFonts w:ascii="Calibri" w:hAnsi="Calibri" w:cs="Calibri"/>
        </w:rPr>
        <w:t>refugees</w:t>
      </w:r>
    </w:p>
    <w:p w14:paraId="0176E3F0" w14:textId="5E114C3B" w:rsidR="00612480" w:rsidRDefault="00612480" w:rsidP="009A042F">
      <w:pPr>
        <w:jc w:val="both"/>
        <w:rPr>
          <w:rStyle w:val="Heading3Char"/>
        </w:rPr>
      </w:pPr>
      <w:r w:rsidRPr="691E46C7">
        <w:rPr>
          <w:rStyle w:val="Heading3Char"/>
        </w:rPr>
        <w:t>W</w:t>
      </w:r>
      <w:r w:rsidR="4F40FFFF" w:rsidRPr="691E46C7">
        <w:rPr>
          <w:rStyle w:val="Heading3Char"/>
        </w:rPr>
        <w:t xml:space="preserve">idening </w:t>
      </w:r>
      <w:r w:rsidRPr="691E46C7">
        <w:rPr>
          <w:rStyle w:val="Heading3Char"/>
        </w:rPr>
        <w:t>P</w:t>
      </w:r>
      <w:r w:rsidR="082AFB05" w:rsidRPr="691E46C7">
        <w:rPr>
          <w:rStyle w:val="Heading3Char"/>
        </w:rPr>
        <w:t>articipation</w:t>
      </w:r>
    </w:p>
    <w:p w14:paraId="4913141A" w14:textId="77777777" w:rsidR="009A042F" w:rsidRDefault="009A042F" w:rsidP="691E46C7">
      <w:pPr>
        <w:jc w:val="both"/>
        <w:rPr>
          <w:rFonts w:ascii="Calibri" w:hAnsi="Calibri" w:cs="Calibri"/>
        </w:rPr>
      </w:pPr>
      <w:r w:rsidRPr="691E46C7">
        <w:rPr>
          <w:rFonts w:ascii="Calibri" w:hAnsi="Calibri" w:cs="Calibri"/>
        </w:rPr>
        <w:t xml:space="preserve">Widening participation. Improving the representation of under-represented students in higher education at a national level. </w:t>
      </w:r>
    </w:p>
    <w:p w14:paraId="4DC1AA9B" w14:textId="77777777" w:rsidR="009A042F" w:rsidRPr="00DD1213" w:rsidRDefault="009A042F" w:rsidP="691E46C7">
      <w:pPr>
        <w:jc w:val="both"/>
        <w:rPr>
          <w:rFonts w:ascii="Calibri" w:hAnsi="Calibri" w:cs="Calibri"/>
        </w:rPr>
      </w:pPr>
      <w:r w:rsidRPr="691E46C7">
        <w:rPr>
          <w:rFonts w:ascii="Calibri" w:hAnsi="Calibri" w:cs="Calibri"/>
        </w:rPr>
        <w:t>Definitions taken from</w:t>
      </w:r>
      <w:r w:rsidR="00612480" w:rsidRPr="691E46C7">
        <w:rPr>
          <w:rFonts w:ascii="Calibri" w:hAnsi="Calibri" w:cs="Calibri"/>
        </w:rPr>
        <w:t xml:space="preserve"> Office for Students (</w:t>
      </w:r>
      <w:proofErr w:type="spellStart"/>
      <w:r w:rsidR="00612480" w:rsidRPr="691E46C7">
        <w:rPr>
          <w:rFonts w:ascii="Calibri" w:hAnsi="Calibri" w:cs="Calibri"/>
        </w:rPr>
        <w:t>OfS</w:t>
      </w:r>
      <w:proofErr w:type="spellEnd"/>
      <w:r w:rsidR="00612480" w:rsidRPr="691E46C7">
        <w:rPr>
          <w:rFonts w:ascii="Calibri" w:hAnsi="Calibri" w:cs="Calibri"/>
        </w:rPr>
        <w:t>)</w:t>
      </w:r>
      <w:r w:rsidRPr="691E46C7">
        <w:rPr>
          <w:rFonts w:ascii="Calibri" w:hAnsi="Calibri" w:cs="Calibri"/>
        </w:rPr>
        <w:t xml:space="preserve"> </w:t>
      </w:r>
      <w:hyperlink r:id="rId14">
        <w:r w:rsidR="00612480" w:rsidRPr="691E46C7">
          <w:rPr>
            <w:rStyle w:val="Hyperlink"/>
          </w:rPr>
          <w:t>https://www.officeforstudents.org.uk/advice-and-guidance/promoting-equal-opportunities/access-and-participation-glossary/</w:t>
        </w:r>
      </w:hyperlink>
      <w:r w:rsidR="00612480" w:rsidRPr="691E46C7">
        <w:rPr>
          <w:rFonts w:ascii="Calibri" w:hAnsi="Calibri" w:cs="Calibri"/>
        </w:rPr>
        <w:t xml:space="preserve"> </w:t>
      </w:r>
      <w:r w:rsidRPr="691E46C7">
        <w:rPr>
          <w:rFonts w:ascii="Calibri" w:hAnsi="Calibri" w:cs="Calibri"/>
        </w:rPr>
        <w:t xml:space="preserve">(accessed </w:t>
      </w:r>
      <w:r w:rsidR="00612480" w:rsidRPr="691E46C7">
        <w:rPr>
          <w:rFonts w:ascii="Calibri" w:hAnsi="Calibri" w:cs="Calibri"/>
        </w:rPr>
        <w:t>14.10.2019</w:t>
      </w:r>
      <w:r w:rsidRPr="691E46C7">
        <w:rPr>
          <w:rFonts w:ascii="Calibri" w:hAnsi="Calibri" w:cs="Calibri"/>
        </w:rPr>
        <w:t>)</w:t>
      </w:r>
    </w:p>
    <w:p w14:paraId="19BACB83" w14:textId="77777777" w:rsidR="009A042F" w:rsidRDefault="009A042F" w:rsidP="691E46C7"/>
    <w:p w14:paraId="2E1E13D8" w14:textId="77777777" w:rsidR="009A042F" w:rsidRDefault="009A042F" w:rsidP="009A042F"/>
    <w:p w14:paraId="52EC023C" w14:textId="77777777" w:rsidR="009A042F" w:rsidRDefault="009A042F" w:rsidP="009A042F"/>
    <w:p w14:paraId="431E9D8D" w14:textId="77777777" w:rsidR="004545CF" w:rsidRDefault="004545CF"/>
    <w:sectPr w:rsidR="004545CF">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CEC2E" w14:textId="77777777" w:rsidR="00E6104C" w:rsidRDefault="00E6104C" w:rsidP="009A042F">
      <w:pPr>
        <w:spacing w:before="0" w:after="0" w:line="240" w:lineRule="auto"/>
      </w:pPr>
      <w:r>
        <w:separator/>
      </w:r>
    </w:p>
  </w:endnote>
  <w:endnote w:type="continuationSeparator" w:id="0">
    <w:p w14:paraId="307A5ED1" w14:textId="77777777" w:rsidR="00E6104C" w:rsidRDefault="00E6104C" w:rsidP="009A04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69F65" w14:textId="77777777" w:rsidR="00E6104C" w:rsidRDefault="00E6104C" w:rsidP="009A042F">
      <w:pPr>
        <w:spacing w:before="0" w:after="0" w:line="240" w:lineRule="auto"/>
      </w:pPr>
      <w:r>
        <w:separator/>
      </w:r>
    </w:p>
  </w:footnote>
  <w:footnote w:type="continuationSeparator" w:id="0">
    <w:p w14:paraId="360A932A" w14:textId="77777777" w:rsidR="00E6104C" w:rsidRDefault="00E6104C" w:rsidP="009A042F">
      <w:pPr>
        <w:spacing w:before="0" w:after="0" w:line="240" w:lineRule="auto"/>
      </w:pPr>
      <w:r>
        <w:continuationSeparator/>
      </w:r>
    </w:p>
  </w:footnote>
  <w:footnote w:id="1">
    <w:p w14:paraId="5A8AB7B4" w14:textId="50E5F228" w:rsidR="00390619" w:rsidRDefault="00390619">
      <w:pPr>
        <w:pStyle w:val="FootnoteText"/>
      </w:pPr>
      <w:r>
        <w:rPr>
          <w:rStyle w:val="FootnoteReference"/>
        </w:rPr>
        <w:footnoteRef/>
      </w:r>
      <w:r>
        <w:t xml:space="preserve"> </w:t>
      </w:r>
      <w:hyperlink r:id="rId1" w:history="1">
        <w:r>
          <w:rPr>
            <w:rStyle w:val="Hyperlink"/>
          </w:rPr>
          <w:t>https://www.dur.ac.uk/about/strategy2020/other/access/</w:t>
        </w:r>
      </w:hyperlink>
    </w:p>
  </w:footnote>
  <w:footnote w:id="2">
    <w:p w14:paraId="1C7E084D" w14:textId="77777777" w:rsidR="00ED4301" w:rsidRPr="00DD1213" w:rsidRDefault="00ED4301" w:rsidP="009A042F">
      <w:pPr>
        <w:pStyle w:val="FootnoteText"/>
        <w:rPr>
          <w:rFonts w:ascii="Arial" w:hAnsi="Arial" w:cs="Arial"/>
          <w:sz w:val="12"/>
        </w:rPr>
      </w:pPr>
      <w:r w:rsidRPr="00460796">
        <w:rPr>
          <w:rStyle w:val="FootnoteReference"/>
          <w:rFonts w:ascii="Arial" w:hAnsi="Arial" w:cs="Arial"/>
        </w:rPr>
        <w:footnoteRef/>
      </w:r>
      <w:r w:rsidRPr="00460796">
        <w:rPr>
          <w:rFonts w:ascii="Arial" w:hAnsi="Arial" w:cs="Arial"/>
          <w:sz w:val="16"/>
        </w:rPr>
        <w:t xml:space="preserve"> </w:t>
      </w:r>
      <w:r w:rsidRPr="00DD1213">
        <w:rPr>
          <w:rFonts w:ascii="Arial" w:hAnsi="Arial" w:cs="Arial"/>
          <w:sz w:val="14"/>
        </w:rPr>
        <w:t>As defined by OFFA</w:t>
      </w:r>
      <w:r w:rsidRPr="00DD1213">
        <w:rPr>
          <w:rFonts w:ascii="Arial" w:hAnsi="Arial" w:cs="Arial"/>
          <w:sz w:val="16"/>
        </w:rPr>
        <w:t xml:space="preserve"> (</w:t>
      </w:r>
      <w:r w:rsidRPr="00DD1213">
        <w:rPr>
          <w:rFonts w:ascii="Arial" w:hAnsi="Arial" w:cs="Arial"/>
          <w:sz w:val="14"/>
        </w:rPr>
        <w:t>see Glossary)</w:t>
      </w:r>
    </w:p>
  </w:footnote>
  <w:footnote w:id="3">
    <w:p w14:paraId="2A114658" w14:textId="77777777" w:rsidR="00ED4301" w:rsidRPr="0083524B" w:rsidRDefault="00ED4301" w:rsidP="009A042F">
      <w:pPr>
        <w:pStyle w:val="FootnoteText"/>
        <w:rPr>
          <w:rFonts w:ascii="Arial" w:hAnsi="Arial" w:cs="Arial"/>
          <w:sz w:val="14"/>
        </w:rPr>
      </w:pPr>
      <w:r w:rsidRPr="0083524B">
        <w:rPr>
          <w:rStyle w:val="FootnoteReference"/>
          <w:sz w:val="18"/>
        </w:rPr>
        <w:footnoteRef/>
      </w:r>
      <w:r w:rsidRPr="0083524B">
        <w:rPr>
          <w:sz w:val="18"/>
        </w:rPr>
        <w:t xml:space="preserve"> </w:t>
      </w:r>
      <w:r>
        <w:rPr>
          <w:rFonts w:ascii="Arial" w:hAnsi="Arial" w:cs="Arial"/>
          <w:sz w:val="14"/>
        </w:rPr>
        <w:t>As defined by OFFA (see Glossary)</w:t>
      </w:r>
    </w:p>
  </w:footnote>
  <w:footnote w:id="4">
    <w:p w14:paraId="73C465AC" w14:textId="77777777" w:rsidR="00ED4301" w:rsidRPr="00014B6A" w:rsidRDefault="00ED4301" w:rsidP="009A042F">
      <w:pPr>
        <w:pStyle w:val="FootnoteText"/>
        <w:rPr>
          <w:rFonts w:ascii="Arial" w:hAnsi="Arial" w:cs="Arial"/>
          <w:sz w:val="14"/>
        </w:rPr>
      </w:pPr>
      <w:r w:rsidRPr="0083524B">
        <w:rPr>
          <w:rStyle w:val="FootnoteReference"/>
          <w:sz w:val="18"/>
        </w:rPr>
        <w:footnoteRef/>
      </w:r>
      <w:r w:rsidRPr="0083524B">
        <w:rPr>
          <w:sz w:val="18"/>
        </w:rPr>
        <w:t xml:space="preserve"> </w:t>
      </w:r>
      <w:r>
        <w:rPr>
          <w:rFonts w:ascii="Arial" w:hAnsi="Arial" w:cs="Arial"/>
          <w:sz w:val="14"/>
        </w:rPr>
        <w:t>As defined by OFFA (see Glossary)</w:t>
      </w:r>
    </w:p>
  </w:footnote>
  <w:footnote w:id="5">
    <w:p w14:paraId="776B57DC" w14:textId="77777777" w:rsidR="00ED4301" w:rsidRDefault="00ED4301" w:rsidP="009A042F">
      <w:pPr>
        <w:pStyle w:val="FootnoteText"/>
      </w:pPr>
      <w:r w:rsidRPr="00644ACD">
        <w:rPr>
          <w:rStyle w:val="FootnoteReference"/>
          <w:rFonts w:cstheme="minorHAnsi"/>
          <w:sz w:val="18"/>
          <w:szCs w:val="18"/>
        </w:rPr>
        <w:footnoteRef/>
      </w:r>
      <w:r w:rsidRPr="00644ACD">
        <w:rPr>
          <w:rFonts w:cstheme="minorHAnsi"/>
          <w:sz w:val="18"/>
          <w:szCs w:val="18"/>
        </w:rPr>
        <w:t xml:space="preserve"> </w:t>
      </w:r>
      <w:hyperlink r:id="rId2" w:history="1">
        <w:r w:rsidRPr="00644ACD">
          <w:rPr>
            <w:rStyle w:val="Hyperlink"/>
            <w:rFonts w:cstheme="minorHAnsi"/>
            <w:sz w:val="18"/>
            <w:szCs w:val="18"/>
          </w:rPr>
          <w:t>www.dur.ac.uk/undergraduate/apply/policy</w:t>
        </w:r>
      </w:hyperlink>
      <w:r w:rsidRPr="00644ACD">
        <w:rPr>
          <w:rFonts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37718" w14:textId="77777777" w:rsidR="00D251A5" w:rsidRDefault="00D251A5" w:rsidP="00D251A5">
    <w:pPr>
      <w:pStyle w:val="Header"/>
      <w:rPr>
        <w:noProof/>
      </w:rPr>
    </w:pPr>
  </w:p>
  <w:p w14:paraId="661CB32D" w14:textId="220EA329" w:rsidR="00D251A5" w:rsidRDefault="00D251A5">
    <w:pPr>
      <w:pStyle w:val="Header"/>
    </w:pPr>
    <w:r>
      <w:rPr>
        <w:noProof/>
        <w:lang w:eastAsia="en-GB"/>
      </w:rPr>
      <w:drawing>
        <wp:inline distT="0" distB="0" distL="0" distR="0" wp14:anchorId="71854086" wp14:editId="2009368A">
          <wp:extent cx="2402205" cy="83803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rham University Master Logo_RGB.jpg"/>
                  <pic:cNvPicPr/>
                </pic:nvPicPr>
                <pic:blipFill rotWithShape="1">
                  <a:blip r:embed="rId1" cstate="print">
                    <a:extLst>
                      <a:ext uri="{28A0092B-C50C-407E-A947-70E740481C1C}">
                        <a14:useLocalDpi xmlns:a14="http://schemas.microsoft.com/office/drawing/2010/main" val="0"/>
                      </a:ext>
                    </a:extLst>
                  </a:blip>
                  <a:srcRect t="18828" b="22008"/>
                  <a:stretch/>
                </pic:blipFill>
                <pic:spPr bwMode="auto">
                  <a:xfrm>
                    <a:off x="0" y="0"/>
                    <a:ext cx="2429697" cy="84762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C5E6C"/>
    <w:multiLevelType w:val="hybridMultilevel"/>
    <w:tmpl w:val="5014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20AFB5"/>
    <w:multiLevelType w:val="hybridMultilevel"/>
    <w:tmpl w:val="772678AC"/>
    <w:lvl w:ilvl="0" w:tplc="E02A62B4">
      <w:start w:val="1"/>
      <w:numFmt w:val="decimal"/>
      <w:lvlText w:val="%1."/>
      <w:lvlJc w:val="left"/>
      <w:pPr>
        <w:ind w:left="720" w:hanging="360"/>
      </w:pPr>
    </w:lvl>
    <w:lvl w:ilvl="1" w:tplc="06D43500">
      <w:start w:val="1"/>
      <w:numFmt w:val="lowerLetter"/>
      <w:lvlText w:val="%2."/>
      <w:lvlJc w:val="left"/>
      <w:pPr>
        <w:ind w:left="1440" w:hanging="360"/>
      </w:pPr>
    </w:lvl>
    <w:lvl w:ilvl="2" w:tplc="A1C6AEBC">
      <w:start w:val="1"/>
      <w:numFmt w:val="lowerRoman"/>
      <w:lvlText w:val="%3."/>
      <w:lvlJc w:val="right"/>
      <w:pPr>
        <w:ind w:left="2160" w:hanging="180"/>
      </w:pPr>
    </w:lvl>
    <w:lvl w:ilvl="3" w:tplc="F32EC8B6">
      <w:start w:val="1"/>
      <w:numFmt w:val="decimal"/>
      <w:lvlText w:val="%4."/>
      <w:lvlJc w:val="left"/>
      <w:pPr>
        <w:ind w:left="2880" w:hanging="360"/>
      </w:pPr>
    </w:lvl>
    <w:lvl w:ilvl="4" w:tplc="A92099B0">
      <w:start w:val="1"/>
      <w:numFmt w:val="lowerLetter"/>
      <w:lvlText w:val="%5."/>
      <w:lvlJc w:val="left"/>
      <w:pPr>
        <w:ind w:left="3600" w:hanging="360"/>
      </w:pPr>
    </w:lvl>
    <w:lvl w:ilvl="5" w:tplc="6B06520C">
      <w:start w:val="1"/>
      <w:numFmt w:val="lowerRoman"/>
      <w:lvlText w:val="%6."/>
      <w:lvlJc w:val="right"/>
      <w:pPr>
        <w:ind w:left="4320" w:hanging="180"/>
      </w:pPr>
    </w:lvl>
    <w:lvl w:ilvl="6" w:tplc="F3883AF2">
      <w:start w:val="1"/>
      <w:numFmt w:val="decimal"/>
      <w:lvlText w:val="%7."/>
      <w:lvlJc w:val="left"/>
      <w:pPr>
        <w:ind w:left="5040" w:hanging="360"/>
      </w:pPr>
    </w:lvl>
    <w:lvl w:ilvl="7" w:tplc="A5647ECC">
      <w:start w:val="1"/>
      <w:numFmt w:val="lowerLetter"/>
      <w:lvlText w:val="%8."/>
      <w:lvlJc w:val="left"/>
      <w:pPr>
        <w:ind w:left="5760" w:hanging="360"/>
      </w:pPr>
    </w:lvl>
    <w:lvl w:ilvl="8" w:tplc="B67641A8">
      <w:start w:val="1"/>
      <w:numFmt w:val="lowerRoman"/>
      <w:lvlText w:val="%9."/>
      <w:lvlJc w:val="right"/>
      <w:pPr>
        <w:ind w:left="6480" w:hanging="180"/>
      </w:pPr>
    </w:lvl>
  </w:abstractNum>
  <w:abstractNum w:abstractNumId="2" w15:restartNumberingAfterBreak="0">
    <w:nsid w:val="523E68DB"/>
    <w:multiLevelType w:val="hybridMultilevel"/>
    <w:tmpl w:val="DDFCD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2615098">
    <w:abstractNumId w:val="1"/>
  </w:num>
  <w:num w:numId="2" w16cid:durableId="788864857">
    <w:abstractNumId w:val="0"/>
  </w:num>
  <w:num w:numId="3" w16cid:durableId="909462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CF"/>
    <w:rsid w:val="00151CE0"/>
    <w:rsid w:val="0015DC18"/>
    <w:rsid w:val="00291398"/>
    <w:rsid w:val="00297B0E"/>
    <w:rsid w:val="002F11A1"/>
    <w:rsid w:val="00362F73"/>
    <w:rsid w:val="00370050"/>
    <w:rsid w:val="00390619"/>
    <w:rsid w:val="004545CF"/>
    <w:rsid w:val="004A2003"/>
    <w:rsid w:val="00583A97"/>
    <w:rsid w:val="005E5335"/>
    <w:rsid w:val="00612480"/>
    <w:rsid w:val="006202C0"/>
    <w:rsid w:val="00644ACD"/>
    <w:rsid w:val="0068593E"/>
    <w:rsid w:val="006F15DB"/>
    <w:rsid w:val="00706B07"/>
    <w:rsid w:val="007648F7"/>
    <w:rsid w:val="007C405C"/>
    <w:rsid w:val="00833C1D"/>
    <w:rsid w:val="00847BF9"/>
    <w:rsid w:val="008A6F51"/>
    <w:rsid w:val="009A042F"/>
    <w:rsid w:val="009F0621"/>
    <w:rsid w:val="00A762FF"/>
    <w:rsid w:val="00A90CC5"/>
    <w:rsid w:val="00B26922"/>
    <w:rsid w:val="00BB4AFD"/>
    <w:rsid w:val="00BC04D3"/>
    <w:rsid w:val="00BC2946"/>
    <w:rsid w:val="00BF3704"/>
    <w:rsid w:val="00CC7C10"/>
    <w:rsid w:val="00CD41BF"/>
    <w:rsid w:val="00D251A5"/>
    <w:rsid w:val="00E36A92"/>
    <w:rsid w:val="00E6104C"/>
    <w:rsid w:val="00ED4301"/>
    <w:rsid w:val="00F65EE0"/>
    <w:rsid w:val="00FE3F78"/>
    <w:rsid w:val="00FF0E63"/>
    <w:rsid w:val="017278DE"/>
    <w:rsid w:val="07AC4308"/>
    <w:rsid w:val="0807C5A0"/>
    <w:rsid w:val="082AFB05"/>
    <w:rsid w:val="09B3670F"/>
    <w:rsid w:val="09C2654F"/>
    <w:rsid w:val="0AA338CE"/>
    <w:rsid w:val="0B349976"/>
    <w:rsid w:val="0D30BCF4"/>
    <w:rsid w:val="0DE5E531"/>
    <w:rsid w:val="0EEA0817"/>
    <w:rsid w:val="0F413562"/>
    <w:rsid w:val="10925033"/>
    <w:rsid w:val="114E0562"/>
    <w:rsid w:val="13C7F676"/>
    <w:rsid w:val="143C1330"/>
    <w:rsid w:val="14C82AF0"/>
    <w:rsid w:val="1563C6D7"/>
    <w:rsid w:val="16606FC4"/>
    <w:rsid w:val="166609E4"/>
    <w:rsid w:val="1678EAEA"/>
    <w:rsid w:val="16FA9B17"/>
    <w:rsid w:val="17689379"/>
    <w:rsid w:val="17D7FCA8"/>
    <w:rsid w:val="1818F59F"/>
    <w:rsid w:val="1826E8CE"/>
    <w:rsid w:val="1AA0343B"/>
    <w:rsid w:val="1ADDD617"/>
    <w:rsid w:val="1AFD45E0"/>
    <w:rsid w:val="1B5E76F3"/>
    <w:rsid w:val="1B6BF1DA"/>
    <w:rsid w:val="1BA7360A"/>
    <w:rsid w:val="1BD6699D"/>
    <w:rsid w:val="1CAAD231"/>
    <w:rsid w:val="1D34EC70"/>
    <w:rsid w:val="1DD72F48"/>
    <w:rsid w:val="1E186A7D"/>
    <w:rsid w:val="1E47FE20"/>
    <w:rsid w:val="1E87D27C"/>
    <w:rsid w:val="1F984B3F"/>
    <w:rsid w:val="1FE3FBCA"/>
    <w:rsid w:val="2026788F"/>
    <w:rsid w:val="2126B469"/>
    <w:rsid w:val="22CCF8F8"/>
    <w:rsid w:val="24A1DA06"/>
    <w:rsid w:val="24EAF761"/>
    <w:rsid w:val="27258EC2"/>
    <w:rsid w:val="274E485E"/>
    <w:rsid w:val="27F05598"/>
    <w:rsid w:val="28674B12"/>
    <w:rsid w:val="28EAFA6C"/>
    <w:rsid w:val="29354DB7"/>
    <w:rsid w:val="29F94F78"/>
    <w:rsid w:val="2A0FCCFF"/>
    <w:rsid w:val="2A20B275"/>
    <w:rsid w:val="2AAEB358"/>
    <w:rsid w:val="2AB8CBF7"/>
    <w:rsid w:val="2BD30BDE"/>
    <w:rsid w:val="307A5FB3"/>
    <w:rsid w:val="30B4A4BD"/>
    <w:rsid w:val="312D899A"/>
    <w:rsid w:val="31443D08"/>
    <w:rsid w:val="3201AAA3"/>
    <w:rsid w:val="34DF0B5E"/>
    <w:rsid w:val="3511C8C6"/>
    <w:rsid w:val="35A67949"/>
    <w:rsid w:val="388A0C2E"/>
    <w:rsid w:val="38A170A2"/>
    <w:rsid w:val="38C103F5"/>
    <w:rsid w:val="39A87CC8"/>
    <w:rsid w:val="3D15B76E"/>
    <w:rsid w:val="3F1003DF"/>
    <w:rsid w:val="4051869B"/>
    <w:rsid w:val="454586F9"/>
    <w:rsid w:val="47E03683"/>
    <w:rsid w:val="483518CE"/>
    <w:rsid w:val="49DB1219"/>
    <w:rsid w:val="4A140AAF"/>
    <w:rsid w:val="4A52483A"/>
    <w:rsid w:val="4B1A33E2"/>
    <w:rsid w:val="4B430317"/>
    <w:rsid w:val="4B9BB97E"/>
    <w:rsid w:val="4BFCB910"/>
    <w:rsid w:val="4C433791"/>
    <w:rsid w:val="4C7E05DE"/>
    <w:rsid w:val="4CA1CA0F"/>
    <w:rsid w:val="4CC2C503"/>
    <w:rsid w:val="4CD54AFB"/>
    <w:rsid w:val="4D951CF6"/>
    <w:rsid w:val="4F40FFFF"/>
    <w:rsid w:val="4FEC2F57"/>
    <w:rsid w:val="50338D82"/>
    <w:rsid w:val="5052A5CA"/>
    <w:rsid w:val="50888E9A"/>
    <w:rsid w:val="52088FD5"/>
    <w:rsid w:val="523CA9DE"/>
    <w:rsid w:val="531ECD48"/>
    <w:rsid w:val="537B28F8"/>
    <w:rsid w:val="5460E7B7"/>
    <w:rsid w:val="574ED421"/>
    <w:rsid w:val="58654D6B"/>
    <w:rsid w:val="589E4D65"/>
    <w:rsid w:val="593A7FDF"/>
    <w:rsid w:val="5B17BB4B"/>
    <w:rsid w:val="5CC139F1"/>
    <w:rsid w:val="5D58EF66"/>
    <w:rsid w:val="5D8D7E8F"/>
    <w:rsid w:val="5D98B430"/>
    <w:rsid w:val="5F407488"/>
    <w:rsid w:val="5FB75519"/>
    <w:rsid w:val="5FED86D7"/>
    <w:rsid w:val="628A965C"/>
    <w:rsid w:val="62A302FB"/>
    <w:rsid w:val="6382393E"/>
    <w:rsid w:val="642666BD"/>
    <w:rsid w:val="64BB1389"/>
    <w:rsid w:val="64F084AF"/>
    <w:rsid w:val="662E0553"/>
    <w:rsid w:val="66788F23"/>
    <w:rsid w:val="691E46C7"/>
    <w:rsid w:val="691F4305"/>
    <w:rsid w:val="6A02D9EC"/>
    <w:rsid w:val="6A7E1688"/>
    <w:rsid w:val="6A9B9EEC"/>
    <w:rsid w:val="6D3DA834"/>
    <w:rsid w:val="6DB6499F"/>
    <w:rsid w:val="6FC47629"/>
    <w:rsid w:val="6FC7D2B3"/>
    <w:rsid w:val="70100A76"/>
    <w:rsid w:val="71C32B33"/>
    <w:rsid w:val="723C0F06"/>
    <w:rsid w:val="73A80FDA"/>
    <w:rsid w:val="74032E3C"/>
    <w:rsid w:val="74EB568B"/>
    <w:rsid w:val="750AAAA9"/>
    <w:rsid w:val="75FF0C6F"/>
    <w:rsid w:val="761DEBDA"/>
    <w:rsid w:val="7655C3B4"/>
    <w:rsid w:val="7770E3C8"/>
    <w:rsid w:val="781E7348"/>
    <w:rsid w:val="79D745D7"/>
    <w:rsid w:val="79E09EAC"/>
    <w:rsid w:val="7BCC8D93"/>
    <w:rsid w:val="7D054404"/>
    <w:rsid w:val="7D41B2D7"/>
    <w:rsid w:val="7E00D78A"/>
    <w:rsid w:val="7E59B4E8"/>
    <w:rsid w:val="7E8E2C35"/>
    <w:rsid w:val="7E9B92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4754C"/>
  <w15:docId w15:val="{826BA056-AAC1-4876-B42A-67EE51CE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42F"/>
    <w:pPr>
      <w:spacing w:before="200" w:after="200" w:line="276" w:lineRule="auto"/>
    </w:pPr>
    <w:rPr>
      <w:sz w:val="20"/>
      <w:szCs w:val="20"/>
      <w:lang w:val="en-GB" w:eastAsia="en-US"/>
    </w:rPr>
  </w:style>
  <w:style w:type="paragraph" w:styleId="Heading1">
    <w:name w:val="heading 1"/>
    <w:basedOn w:val="Normal"/>
    <w:next w:val="Normal"/>
    <w:link w:val="Heading1Char"/>
    <w:uiPriority w:val="9"/>
    <w:qFormat/>
    <w:rsid w:val="00D251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51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124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42F"/>
    <w:rPr>
      <w:color w:val="0000FF"/>
      <w:u w:val="single"/>
    </w:rPr>
  </w:style>
  <w:style w:type="paragraph" w:styleId="FootnoteText">
    <w:name w:val="footnote text"/>
    <w:basedOn w:val="Normal"/>
    <w:link w:val="FootnoteTextChar"/>
    <w:rsid w:val="009A042F"/>
  </w:style>
  <w:style w:type="character" w:customStyle="1" w:styleId="FootnoteTextChar">
    <w:name w:val="Footnote Text Char"/>
    <w:basedOn w:val="DefaultParagraphFont"/>
    <w:link w:val="FootnoteText"/>
    <w:rsid w:val="009A042F"/>
    <w:rPr>
      <w:sz w:val="20"/>
      <w:szCs w:val="20"/>
      <w:lang w:val="en-GB" w:eastAsia="en-US"/>
    </w:rPr>
  </w:style>
  <w:style w:type="character" w:styleId="FootnoteReference">
    <w:name w:val="footnote reference"/>
    <w:rsid w:val="009A042F"/>
    <w:rPr>
      <w:vertAlign w:val="superscript"/>
    </w:rPr>
  </w:style>
  <w:style w:type="paragraph" w:styleId="BalloonText">
    <w:name w:val="Balloon Text"/>
    <w:basedOn w:val="Normal"/>
    <w:link w:val="BalloonTextChar"/>
    <w:uiPriority w:val="99"/>
    <w:semiHidden/>
    <w:unhideWhenUsed/>
    <w:rsid w:val="00FE3F7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F78"/>
    <w:rPr>
      <w:rFonts w:ascii="Tahoma" w:hAnsi="Tahoma" w:cs="Tahoma"/>
      <w:sz w:val="16"/>
      <w:szCs w:val="16"/>
      <w:lang w:val="en-GB" w:eastAsia="en-US"/>
    </w:rPr>
  </w:style>
  <w:style w:type="character" w:styleId="FollowedHyperlink">
    <w:name w:val="FollowedHyperlink"/>
    <w:basedOn w:val="DefaultParagraphFont"/>
    <w:uiPriority w:val="99"/>
    <w:semiHidden/>
    <w:unhideWhenUsed/>
    <w:rsid w:val="00FE3F78"/>
    <w:rPr>
      <w:color w:val="954F72" w:themeColor="followedHyperlink"/>
      <w:u w:val="single"/>
    </w:rPr>
  </w:style>
  <w:style w:type="paragraph" w:styleId="Header">
    <w:name w:val="header"/>
    <w:basedOn w:val="Normal"/>
    <w:link w:val="HeaderChar"/>
    <w:unhideWhenUsed/>
    <w:rsid w:val="00D251A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251A5"/>
    <w:rPr>
      <w:sz w:val="20"/>
      <w:szCs w:val="20"/>
      <w:lang w:val="en-GB" w:eastAsia="en-US"/>
    </w:rPr>
  </w:style>
  <w:style w:type="paragraph" w:styleId="Footer">
    <w:name w:val="footer"/>
    <w:basedOn w:val="Normal"/>
    <w:link w:val="FooterChar"/>
    <w:uiPriority w:val="99"/>
    <w:unhideWhenUsed/>
    <w:rsid w:val="00D251A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251A5"/>
    <w:rPr>
      <w:sz w:val="20"/>
      <w:szCs w:val="20"/>
      <w:lang w:val="en-GB" w:eastAsia="en-US"/>
    </w:rPr>
  </w:style>
  <w:style w:type="character" w:customStyle="1" w:styleId="Heading1Char">
    <w:name w:val="Heading 1 Char"/>
    <w:basedOn w:val="DefaultParagraphFont"/>
    <w:link w:val="Heading1"/>
    <w:uiPriority w:val="9"/>
    <w:rsid w:val="00D251A5"/>
    <w:rPr>
      <w:rFonts w:asciiTheme="majorHAnsi" w:eastAsiaTheme="majorEastAsia" w:hAnsiTheme="majorHAnsi" w:cstheme="majorBidi"/>
      <w:color w:val="2E74B5" w:themeColor="accent1" w:themeShade="BF"/>
      <w:sz w:val="32"/>
      <w:szCs w:val="32"/>
      <w:lang w:val="en-GB" w:eastAsia="en-US"/>
    </w:rPr>
  </w:style>
  <w:style w:type="character" w:customStyle="1" w:styleId="Heading2Char">
    <w:name w:val="Heading 2 Char"/>
    <w:basedOn w:val="DefaultParagraphFont"/>
    <w:link w:val="Heading2"/>
    <w:uiPriority w:val="9"/>
    <w:rsid w:val="00D251A5"/>
    <w:rPr>
      <w:rFonts w:asciiTheme="majorHAnsi" w:eastAsiaTheme="majorEastAsia" w:hAnsiTheme="majorHAnsi" w:cstheme="majorBidi"/>
      <w:color w:val="2E74B5" w:themeColor="accent1" w:themeShade="BF"/>
      <w:sz w:val="26"/>
      <w:szCs w:val="26"/>
      <w:lang w:val="en-GB" w:eastAsia="en-US"/>
    </w:rPr>
  </w:style>
  <w:style w:type="paragraph" w:styleId="ListParagraph">
    <w:name w:val="List Paragraph"/>
    <w:basedOn w:val="Normal"/>
    <w:uiPriority w:val="34"/>
    <w:qFormat/>
    <w:rsid w:val="00612480"/>
    <w:pPr>
      <w:ind w:left="720"/>
      <w:contextualSpacing/>
    </w:pPr>
  </w:style>
  <w:style w:type="character" w:customStyle="1" w:styleId="Heading3Char">
    <w:name w:val="Heading 3 Char"/>
    <w:basedOn w:val="DefaultParagraphFont"/>
    <w:link w:val="Heading3"/>
    <w:uiPriority w:val="9"/>
    <w:rsid w:val="00612480"/>
    <w:rPr>
      <w:rFonts w:asciiTheme="majorHAnsi" w:eastAsiaTheme="majorEastAsia" w:hAnsiTheme="majorHAnsi" w:cstheme="majorBidi"/>
      <w:color w:val="1F4D78" w:themeColor="accent1" w:themeShade="7F"/>
      <w:sz w:val="24"/>
      <w:szCs w:val="24"/>
      <w:lang w:val="en-GB" w:eastAsia="en-US"/>
    </w:rPr>
  </w:style>
  <w:style w:type="character" w:styleId="CommentReference">
    <w:name w:val="annotation reference"/>
    <w:basedOn w:val="DefaultParagraphFont"/>
    <w:uiPriority w:val="99"/>
    <w:semiHidden/>
    <w:unhideWhenUsed/>
    <w:rsid w:val="006202C0"/>
    <w:rPr>
      <w:sz w:val="16"/>
      <w:szCs w:val="16"/>
    </w:rPr>
  </w:style>
  <w:style w:type="paragraph" w:styleId="CommentText">
    <w:name w:val="annotation text"/>
    <w:basedOn w:val="Normal"/>
    <w:link w:val="CommentTextChar"/>
    <w:uiPriority w:val="99"/>
    <w:semiHidden/>
    <w:unhideWhenUsed/>
    <w:rsid w:val="006202C0"/>
    <w:pPr>
      <w:spacing w:line="240" w:lineRule="auto"/>
    </w:pPr>
  </w:style>
  <w:style w:type="character" w:customStyle="1" w:styleId="CommentTextChar">
    <w:name w:val="Comment Text Char"/>
    <w:basedOn w:val="DefaultParagraphFont"/>
    <w:link w:val="CommentText"/>
    <w:uiPriority w:val="99"/>
    <w:semiHidden/>
    <w:rsid w:val="006202C0"/>
    <w:rPr>
      <w:sz w:val="20"/>
      <w:szCs w:val="20"/>
      <w:lang w:val="en-GB" w:eastAsia="en-US"/>
    </w:rPr>
  </w:style>
  <w:style w:type="paragraph" w:styleId="CommentSubject">
    <w:name w:val="annotation subject"/>
    <w:basedOn w:val="CommentText"/>
    <w:next w:val="CommentText"/>
    <w:link w:val="CommentSubjectChar"/>
    <w:uiPriority w:val="99"/>
    <w:semiHidden/>
    <w:unhideWhenUsed/>
    <w:rsid w:val="006202C0"/>
    <w:rPr>
      <w:b/>
      <w:bCs/>
    </w:rPr>
  </w:style>
  <w:style w:type="character" w:customStyle="1" w:styleId="CommentSubjectChar">
    <w:name w:val="Comment Subject Char"/>
    <w:basedOn w:val="CommentTextChar"/>
    <w:link w:val="CommentSubject"/>
    <w:uiPriority w:val="99"/>
    <w:semiHidden/>
    <w:rsid w:val="006202C0"/>
    <w:rPr>
      <w:b/>
      <w:bCs/>
      <w:sz w:val="20"/>
      <w:szCs w:val="20"/>
      <w:lang w:val="en-GB" w:eastAsia="en-US"/>
    </w:rPr>
  </w:style>
  <w:style w:type="paragraph" w:styleId="Revision">
    <w:name w:val="Revision"/>
    <w:hidden/>
    <w:uiPriority w:val="99"/>
    <w:semiHidden/>
    <w:rsid w:val="008A6F51"/>
    <w:pPr>
      <w:spacing w:after="0" w:line="240" w:lineRule="auto"/>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576678">
      <w:bodyDiv w:val="1"/>
      <w:marLeft w:val="0"/>
      <w:marRight w:val="0"/>
      <w:marTop w:val="0"/>
      <w:marBottom w:val="0"/>
      <w:divBdr>
        <w:top w:val="none" w:sz="0" w:space="0" w:color="auto"/>
        <w:left w:val="none" w:sz="0" w:space="0" w:color="auto"/>
        <w:bottom w:val="none" w:sz="0" w:space="0" w:color="auto"/>
        <w:right w:val="none" w:sz="0" w:space="0" w:color="auto"/>
      </w:divBdr>
    </w:div>
    <w:div w:id="1380788828">
      <w:bodyDiv w:val="1"/>
      <w:marLeft w:val="0"/>
      <w:marRight w:val="0"/>
      <w:marTop w:val="0"/>
      <w:marBottom w:val="0"/>
      <w:divBdr>
        <w:top w:val="none" w:sz="0" w:space="0" w:color="auto"/>
        <w:left w:val="none" w:sz="0" w:space="0" w:color="auto"/>
        <w:bottom w:val="none" w:sz="0" w:space="0" w:color="auto"/>
        <w:right w:val="none" w:sz="0" w:space="0" w:color="auto"/>
      </w:divBdr>
    </w:div>
    <w:div w:id="213177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ur.ac.uk/undergraduate/study/apply/under18entra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ur.ac.uk/dcad/study/found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urham.ac.uk/study/undergraduate/how-to-apply/writing-a-personal-stateme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fficeforstudents.org.uk/advice-and-guidance/promoting-equal-opportunities/access-and-participation-glossar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ur.ac.uk/undergraduate/apply/policy" TargetMode="External"/><Relationship Id="rId1" Type="http://schemas.openxmlformats.org/officeDocument/2006/relationships/hyperlink" Target="https://www.dur.ac.uk/about/strategy2020/other/acc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2ba121-b017-4c08-980e-d54c1beca979">
      <Terms xmlns="http://schemas.microsoft.com/office/infopath/2007/PartnerControls"/>
    </lcf76f155ced4ddcb4097134ff3c332f>
    <TaxCatchAll xmlns="3bf6d2de-cfb7-466c-825b-051a8e3c8b7d" xsi:nil="true"/>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Document" ma:contentTypeID="0x010100E211B1152F73E848AA8D027CE710537D" ma:contentTypeVersion="14" ma:contentTypeDescription="Create a new document." ma:contentTypeScope="" ma:versionID="2438f8bab00897e1c8c480fae102458b">
  <xsd:schema xmlns:xsd="http://www.w3.org/2001/XMLSchema" xmlns:xs="http://www.w3.org/2001/XMLSchema" xmlns:p="http://schemas.microsoft.com/office/2006/metadata/properties" xmlns:ns2="b42ba121-b017-4c08-980e-d54c1beca979" xmlns:ns3="7317ff2c-e478-4cb0-9692-0e6107d056e2" xmlns:ns4="3bf6d2de-cfb7-466c-825b-051a8e3c8b7d" targetNamespace="http://schemas.microsoft.com/office/2006/metadata/properties" ma:root="true" ma:fieldsID="35e4512c0dd1ef89b8e5e3f00a3b1789" ns2:_="" ns3:_="" ns4:_="">
    <xsd:import namespace="b42ba121-b017-4c08-980e-d54c1beca979"/>
    <xsd:import namespace="7317ff2c-e478-4cb0-9692-0e6107d056e2"/>
    <xsd:import namespace="3bf6d2de-cfb7-466c-825b-051a8e3c8b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ba121-b017-4c08-980e-d54c1beca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17ff2c-e478-4cb0-9692-0e6107d056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6d2de-cfb7-466c-825b-051a8e3c8b7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d3a1002-3a25-4224-b96e-0aaaaca3586e}" ma:internalName="TaxCatchAll" ma:showField="CatchAllData" ma:web="7317ff2c-e478-4cb0-9692-0e6107d056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8FADD-81C7-409A-A724-B64F7A34D5E5}">
  <ds:schemaRefs>
    <ds:schemaRef ds:uri="http://schemas.microsoft.com/office/2006/metadata/properties"/>
    <ds:schemaRef ds:uri="http://schemas.microsoft.com/office/infopath/2007/PartnerControls"/>
    <ds:schemaRef ds:uri="b42ba121-b017-4c08-980e-d54c1beca979"/>
    <ds:schemaRef ds:uri="3bf6d2de-cfb7-466c-825b-051a8e3c8b7d"/>
  </ds:schemaRefs>
</ds:datastoreItem>
</file>

<file path=customXml/itemProps2.xml><?xml version="1.0" encoding="utf-8"?>
<ds:datastoreItem xmlns:ds="http://schemas.openxmlformats.org/officeDocument/2006/customXml" ds:itemID="{DBC37A92-2D69-4519-B632-4BD4FB5673AA}">
  <ds:schemaRefs>
    <ds:schemaRef ds:uri="http://schemas.openxmlformats.org/officeDocument/2006/bibliography"/>
  </ds:schemaRefs>
</ds:datastoreItem>
</file>

<file path=customXml/itemProps3.xml><?xml version="1.0" encoding="utf-8"?>
<ds:datastoreItem xmlns:ds="http://schemas.openxmlformats.org/officeDocument/2006/customXml" ds:itemID="{305BEE36-10D6-4CBF-8A2F-B9880AD8A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ba121-b017-4c08-980e-d54c1beca979"/>
    <ds:schemaRef ds:uri="7317ff2c-e478-4cb0-9692-0e6107d056e2"/>
    <ds:schemaRef ds:uri="3bf6d2de-cfb7-466c-825b-051a8e3c8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1FB910-8574-4FFE-A98D-98278D4C0C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1264</Words>
  <Characters>7210</Characters>
  <Application>Microsoft Office Word</Application>
  <DocSecurity>0</DocSecurity>
  <Lines>60</Lines>
  <Paragraphs>16</Paragraphs>
  <ScaleCrop>false</ScaleCrop>
  <Company>Durham University</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WYER, SARAH E.</dc:creator>
  <cp:lastModifiedBy>WALCZAK, IZABELA W.</cp:lastModifiedBy>
  <cp:revision>5</cp:revision>
  <cp:lastPrinted>2019-10-15T08:23:00Z</cp:lastPrinted>
  <dcterms:created xsi:type="dcterms:W3CDTF">2023-08-01T10:44:00Z</dcterms:created>
  <dcterms:modified xsi:type="dcterms:W3CDTF">2024-08-29T15:05:00Z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0x010100E211B1152F73E848AA8D027CE710537D</vt:lpwstr>
  </property>
  <property fmtid="{D5CDD505-2E9C-101B-9397-08002B2CF9AE}" pid="3" name="MediaServiceImageTags">
    <vt:lpwstr/>
  </property>
</Properties>
</file>